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115A2" w14:textId="77777777" w:rsidR="00300A7B" w:rsidRPr="00642F18" w:rsidRDefault="00300A7B" w:rsidP="004D473A"/>
    <w:p w14:paraId="7027A13E" w14:textId="77777777" w:rsidR="00300A7B" w:rsidRPr="00642F18" w:rsidRDefault="00300A7B" w:rsidP="004D473A"/>
    <w:p w14:paraId="3B61CCF9" w14:textId="77777777" w:rsidR="00300A7B" w:rsidRPr="00642F18" w:rsidRDefault="00300A7B" w:rsidP="004D473A"/>
    <w:p w14:paraId="32013344" w14:textId="77777777" w:rsidR="00300A7B" w:rsidRPr="00642F18" w:rsidRDefault="00300A7B" w:rsidP="004D473A"/>
    <w:p w14:paraId="73188421" w14:textId="77777777" w:rsidR="00300A7B" w:rsidRPr="00642F18" w:rsidRDefault="00300A7B" w:rsidP="004D473A"/>
    <w:p w14:paraId="0E91CA52" w14:textId="77777777" w:rsidR="00300A7B" w:rsidRPr="00642F18" w:rsidRDefault="00300A7B" w:rsidP="004D473A"/>
    <w:p w14:paraId="0A0B67A9" w14:textId="77777777" w:rsidR="00300A7B" w:rsidRPr="00642F18" w:rsidRDefault="00300A7B" w:rsidP="004D473A">
      <w:pPr>
        <w:pStyle w:val="MOBGegevensOpKaft"/>
      </w:pPr>
      <w:r w:rsidRPr="00642F18">
        <w:t xml:space="preserve">In opdracht van: </w:t>
      </w:r>
    </w:p>
    <w:p w14:paraId="729476E3" w14:textId="10470AF3" w:rsidR="00300A7B" w:rsidRPr="00642F18" w:rsidRDefault="00376230" w:rsidP="004D473A">
      <w:pPr>
        <w:pStyle w:val="MOBGegevensOpKaft"/>
      </w:pPr>
      <w:r>
        <w:t>Johan Diepens</w:t>
      </w:r>
    </w:p>
    <w:p w14:paraId="44A1E105" w14:textId="77777777" w:rsidR="00300A7B" w:rsidRPr="00642F18" w:rsidRDefault="00300A7B" w:rsidP="004D473A">
      <w:pPr>
        <w:pStyle w:val="MOBGegevensOpKaft"/>
      </w:pPr>
    </w:p>
    <w:p w14:paraId="11424EB7" w14:textId="77777777" w:rsidR="00300A7B" w:rsidRPr="00642F18" w:rsidRDefault="00300A7B" w:rsidP="004D473A">
      <w:pPr>
        <w:pStyle w:val="MOBGegevensOpKaft"/>
      </w:pPr>
      <w:r w:rsidRPr="00642F18">
        <w:t xml:space="preserve">Projectnummer: </w:t>
      </w:r>
    </w:p>
    <w:p w14:paraId="37D28A6A" w14:textId="78948878" w:rsidR="00300A7B" w:rsidRPr="00DD6FCA" w:rsidRDefault="00376230" w:rsidP="004D473A">
      <w:pPr>
        <w:pStyle w:val="MOBGegevensOpKaft"/>
      </w:pPr>
      <w:r w:rsidRPr="00DD6FCA">
        <w:t>-</w:t>
      </w:r>
    </w:p>
    <w:p w14:paraId="2314C65F" w14:textId="77777777" w:rsidR="00300A7B" w:rsidRPr="00DD6FCA" w:rsidRDefault="00300A7B" w:rsidP="004D473A">
      <w:pPr>
        <w:pStyle w:val="MOBGegevensOpKaft"/>
      </w:pPr>
    </w:p>
    <w:p w14:paraId="6F0AF763" w14:textId="77777777" w:rsidR="00300A7B" w:rsidRPr="00DD6FCA" w:rsidRDefault="00300A7B" w:rsidP="004D473A">
      <w:pPr>
        <w:pStyle w:val="MOBGegevensOpKaft"/>
      </w:pPr>
      <w:r w:rsidRPr="00642F18">
        <w:rPr>
          <w:noProof/>
        </w:rPr>
        <mc:AlternateContent>
          <mc:Choice Requires="wps">
            <w:drawing>
              <wp:anchor distT="0" distB="0" distL="114300" distR="114300" simplePos="0" relativeHeight="251676672" behindDoc="0" locked="1" layoutInCell="1" allowOverlap="1" wp14:anchorId="5FE07634" wp14:editId="41239E27">
                <wp:simplePos x="0" y="0"/>
                <wp:positionH relativeFrom="column">
                  <wp:posOffset>-1139190</wp:posOffset>
                </wp:positionH>
                <wp:positionV relativeFrom="page">
                  <wp:posOffset>2621915</wp:posOffset>
                </wp:positionV>
                <wp:extent cx="2668270" cy="388620"/>
                <wp:effectExtent l="0" t="0" r="0" b="0"/>
                <wp:wrapNone/>
                <wp:docPr id="7" name="Tekstvak 7"/>
                <wp:cNvGraphicFramePr/>
                <a:graphic xmlns:a="http://schemas.openxmlformats.org/drawingml/2006/main">
                  <a:graphicData uri="http://schemas.microsoft.com/office/word/2010/wordprocessingShape">
                    <wps:wsp>
                      <wps:cNvSpPr txBox="1"/>
                      <wps:spPr>
                        <a:xfrm rot="16200000">
                          <a:off x="0" y="0"/>
                          <a:ext cx="2668270" cy="388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274FBF" w14:textId="6B1D7663" w:rsidR="00053540" w:rsidRPr="00053540" w:rsidRDefault="00053540" w:rsidP="00067D1E">
                            <w:pPr>
                              <w:pStyle w:val="MOBRapportAanduiding"/>
                            </w:pPr>
                            <w:r w:rsidRPr="00053540">
                              <w:t>RAPPORT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07634" id="_x0000_t202" coordsize="21600,21600" o:spt="202" path="m,l,21600r21600,l21600,xe">
                <v:stroke joinstyle="miter"/>
                <v:path gradientshapeok="t" o:connecttype="rect"/>
              </v:shapetype>
              <v:shape id="Tekstvak 7" o:spid="_x0000_s1026" type="#_x0000_t202" style="position:absolute;left:0;text-align:left;margin-left:-89.7pt;margin-top:206.45pt;width:210.1pt;height:30.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" filled="f" stroked="f">
                <v:textbox>
                  <w:txbxContent>
                    <w:p w14:paraId="1A274FBF" w14:textId="6B1D7663" w:rsidR="00053540" w:rsidRPr="00053540" w:rsidRDefault="00053540" w:rsidP="00067D1E">
                      <w:pPr>
                        <w:pStyle w:val="MOBRapportAanduiding"/>
                      </w:pPr>
                      <w:r w:rsidRPr="00053540">
                        <w:t>RAPPORT</w:t>
                      </w:r>
                    </w:p>
                  </w:txbxContent>
                </v:textbox>
                <w10:wrap anchory="page"/>
                <w10:anchorlock/>
              </v:shape>
            </w:pict>
          </mc:Fallback>
        </mc:AlternateContent>
      </w:r>
      <w:r w:rsidRPr="00DD6FCA">
        <w:t>Datum:</w:t>
      </w:r>
    </w:p>
    <w:p w14:paraId="12C178BE" w14:textId="6EA2FC67" w:rsidR="00300A7B" w:rsidRPr="00DD6FCA" w:rsidRDefault="0066615E" w:rsidP="004D473A">
      <w:pPr>
        <w:pStyle w:val="MOBGegevensOpKaft"/>
        <w:rPr>
          <w:color w:val="FF0000"/>
        </w:rPr>
      </w:pPr>
      <w:r>
        <w:t>24-09-2025</w:t>
      </w:r>
    </w:p>
    <w:p w14:paraId="2341DA88" w14:textId="77777777" w:rsidR="00300A7B" w:rsidRPr="00DD6FCA" w:rsidRDefault="00300A7B" w:rsidP="004D473A"/>
    <w:p w14:paraId="30694E27" w14:textId="77777777" w:rsidR="007B497C" w:rsidRPr="00DD6FCA" w:rsidRDefault="007B497C" w:rsidP="004D473A"/>
    <w:p w14:paraId="52E7F13A" w14:textId="77777777" w:rsidR="00300A7B" w:rsidRPr="00DD6FCA" w:rsidRDefault="00300A7B" w:rsidP="004D473A"/>
    <w:p w14:paraId="271E2DB7" w14:textId="77777777" w:rsidR="007B497C" w:rsidRPr="00DD6FCA" w:rsidRDefault="007B497C" w:rsidP="004D473A"/>
    <w:p w14:paraId="4BCC91AF" w14:textId="77777777" w:rsidR="007B497C" w:rsidRPr="00DD6FCA" w:rsidRDefault="007B497C" w:rsidP="004D473A"/>
    <w:p w14:paraId="01FDB601" w14:textId="5012E68A" w:rsidR="00300A7B" w:rsidRPr="00DD6FCA" w:rsidRDefault="00261F55" w:rsidP="004D473A">
      <w:pPr>
        <w:pStyle w:val="MOBRapportTitel"/>
        <w:rPr>
          <w:strike/>
          <w:color w:val="FF0000"/>
        </w:rPr>
      </w:pPr>
      <w:r w:rsidRPr="00DD6FCA">
        <w:t>CO2</w:t>
      </w:r>
      <w:r w:rsidR="00376230" w:rsidRPr="00DD6FCA">
        <w:t xml:space="preserve"> emissie inventaris </w:t>
      </w:r>
      <w:r w:rsidR="00376230" w:rsidRPr="00DD6FCA">
        <w:br/>
      </w:r>
    </w:p>
    <w:p w14:paraId="7D3BE627" w14:textId="77777777" w:rsidR="00300A7B" w:rsidRPr="00DD6FCA" w:rsidRDefault="00300A7B" w:rsidP="004D473A">
      <w:r w:rsidRPr="00DD6FCA">
        <w:br w:type="page"/>
      </w:r>
    </w:p>
    <w:p w14:paraId="2944019F" w14:textId="77777777" w:rsidR="003A37C8" w:rsidRPr="00DD6FCA" w:rsidRDefault="000D4B69" w:rsidP="00815208">
      <w:pPr>
        <w:pStyle w:val="Inhopg1"/>
        <w:rPr>
          <w:noProof/>
        </w:rPr>
      </w:pPr>
      <w:r w:rsidRPr="00642F18">
        <w:rPr>
          <w:noProof/>
          <w:shd w:val="clear" w:color="auto" w:fill="auto"/>
        </w:rPr>
        <w:lastRenderedPageBreak/>
        <mc:AlternateContent>
          <mc:Choice Requires="wps">
            <w:drawing>
              <wp:anchor distT="0" distB="0" distL="114300" distR="114300" simplePos="0" relativeHeight="251674624" behindDoc="0" locked="1" layoutInCell="1" allowOverlap="1" wp14:anchorId="0E772247" wp14:editId="0B6AA4AF">
                <wp:simplePos x="0" y="0"/>
                <wp:positionH relativeFrom="page">
                  <wp:align>center</wp:align>
                </wp:positionH>
                <wp:positionV relativeFrom="page">
                  <wp:align>top</wp:align>
                </wp:positionV>
                <wp:extent cx="7556400" cy="1256400"/>
                <wp:effectExtent l="0" t="0" r="635" b="1270"/>
                <wp:wrapNone/>
                <wp:docPr id="1" name="Rechthoek 1"/>
                <wp:cNvGraphicFramePr/>
                <a:graphic xmlns:a="http://schemas.openxmlformats.org/drawingml/2006/main">
                  <a:graphicData uri="http://schemas.microsoft.com/office/word/2010/wordprocessingShape">
                    <wps:wsp>
                      <wps:cNvSpPr/>
                      <wps:spPr>
                        <a:xfrm>
                          <a:off x="0" y="0"/>
                          <a:ext cx="7556400" cy="125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6C1E3" id="Rechthoek 1" o:spid="_x0000_s1026" style="position:absolute;margin-left:0;margin-top:0;width:595pt;height:98.95pt;z-index:25167462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" fillcolor="white [3212]" stroked="f" strokeweight="1pt">
                <w10:wrap anchorx="page" anchory="page"/>
                <w10:anchorlock/>
              </v:rect>
            </w:pict>
          </mc:Fallback>
        </mc:AlternateContent>
      </w:r>
      <w:r w:rsidR="00183A0F" w:rsidRPr="00642F18">
        <w:rPr>
          <w:noProof/>
        </w:rPr>
        <w:drawing>
          <wp:anchor distT="0" distB="0" distL="114300" distR="114300" simplePos="0" relativeHeight="251668480" behindDoc="1" locked="0" layoutInCell="1" allowOverlap="1" wp14:anchorId="153C8B78" wp14:editId="4EBF2F6B">
            <wp:simplePos x="0" y="0"/>
            <wp:positionH relativeFrom="page">
              <wp:posOffset>-6440170</wp:posOffset>
            </wp:positionH>
            <wp:positionV relativeFrom="page">
              <wp:posOffset>-303585880</wp:posOffset>
            </wp:positionV>
            <wp:extent cx="7560310" cy="10691495"/>
            <wp:effectExtent l="0" t="0" r="8890" b="190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0-%20Images/10522%20FOR%20Rapport%20v5-7.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208">
        <w:rPr>
          <w:shd w:val="clear" w:color="auto" w:fill="auto"/>
        </w:rPr>
        <w:fldChar w:fldCharType="begin"/>
      </w:r>
      <w:r w:rsidR="00815208" w:rsidRPr="00DD6FCA">
        <w:rPr>
          <w:shd w:val="clear" w:color="auto" w:fill="auto"/>
        </w:rPr>
        <w:instrText xml:space="preserve"> TOC \t "MOB Hoofdstuk;1;MOB Paragraaf;2" </w:instrText>
      </w:r>
      <w:r w:rsidR="00815208">
        <w:rPr>
          <w:shd w:val="clear" w:color="auto" w:fill="auto"/>
        </w:rPr>
        <w:fldChar w:fldCharType="separate"/>
      </w:r>
    </w:p>
    <w:p w14:paraId="30FEEEA7" w14:textId="5A9D12D9"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1.</w:t>
      </w:r>
      <w:r>
        <w:rPr>
          <w:rFonts w:asciiTheme="minorHAnsi" w:eastAsiaTheme="minorEastAsia" w:hAnsiTheme="minorHAnsi" w:cstheme="minorBidi"/>
          <w:b w:val="0"/>
          <w:caps w:val="0"/>
          <w:noProof/>
          <w:color w:val="auto"/>
          <w:shd w:val="clear" w:color="auto" w:fill="auto"/>
        </w:rPr>
        <w:tab/>
      </w:r>
      <w:r>
        <w:rPr>
          <w:noProof/>
        </w:rPr>
        <w:t>Inleiding en verantwoording</w:t>
      </w:r>
      <w:r>
        <w:rPr>
          <w:noProof/>
        </w:rPr>
        <w:tab/>
      </w:r>
      <w:r>
        <w:rPr>
          <w:noProof/>
        </w:rPr>
        <w:fldChar w:fldCharType="begin"/>
      </w:r>
      <w:r>
        <w:rPr>
          <w:noProof/>
        </w:rPr>
        <w:instrText xml:space="preserve"> PAGEREF _Toc85118611 \h </w:instrText>
      </w:r>
      <w:r>
        <w:rPr>
          <w:noProof/>
        </w:rPr>
      </w:r>
      <w:r>
        <w:rPr>
          <w:noProof/>
        </w:rPr>
        <w:fldChar w:fldCharType="separate"/>
      </w:r>
      <w:r w:rsidR="00E61445">
        <w:rPr>
          <w:noProof/>
        </w:rPr>
        <w:t>4</w:t>
      </w:r>
      <w:r>
        <w:rPr>
          <w:noProof/>
        </w:rPr>
        <w:fldChar w:fldCharType="end"/>
      </w:r>
    </w:p>
    <w:p w14:paraId="3F1657DB" w14:textId="4394193B"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2.</w:t>
      </w:r>
      <w:r>
        <w:rPr>
          <w:rFonts w:asciiTheme="minorHAnsi" w:eastAsiaTheme="minorEastAsia" w:hAnsiTheme="minorHAnsi" w:cstheme="minorBidi"/>
          <w:b w:val="0"/>
          <w:caps w:val="0"/>
          <w:noProof/>
          <w:color w:val="auto"/>
          <w:shd w:val="clear" w:color="auto" w:fill="auto"/>
        </w:rPr>
        <w:tab/>
      </w:r>
      <w:r>
        <w:rPr>
          <w:noProof/>
        </w:rPr>
        <w:t>Beschrijving van de organisatie</w:t>
      </w:r>
      <w:r>
        <w:rPr>
          <w:noProof/>
        </w:rPr>
        <w:tab/>
      </w:r>
      <w:r>
        <w:rPr>
          <w:noProof/>
        </w:rPr>
        <w:fldChar w:fldCharType="begin"/>
      </w:r>
      <w:r>
        <w:rPr>
          <w:noProof/>
        </w:rPr>
        <w:instrText xml:space="preserve"> PAGEREF _Toc85118612 \h </w:instrText>
      </w:r>
      <w:r>
        <w:rPr>
          <w:noProof/>
        </w:rPr>
      </w:r>
      <w:r>
        <w:rPr>
          <w:noProof/>
        </w:rPr>
        <w:fldChar w:fldCharType="separate"/>
      </w:r>
      <w:r w:rsidR="00E61445">
        <w:rPr>
          <w:noProof/>
        </w:rPr>
        <w:t>5</w:t>
      </w:r>
      <w:r>
        <w:rPr>
          <w:noProof/>
        </w:rPr>
        <w:fldChar w:fldCharType="end"/>
      </w:r>
    </w:p>
    <w:p w14:paraId="57354892" w14:textId="34FE73FE"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2.1</w:t>
      </w:r>
      <w:r>
        <w:rPr>
          <w:rFonts w:asciiTheme="minorHAnsi" w:eastAsiaTheme="minorEastAsia" w:hAnsiTheme="minorHAnsi" w:cstheme="minorBidi"/>
          <w:noProof/>
          <w:color w:val="auto"/>
          <w:szCs w:val="24"/>
          <w:shd w:val="clear" w:color="auto" w:fill="auto"/>
        </w:rPr>
        <w:tab/>
      </w:r>
      <w:r>
        <w:rPr>
          <w:noProof/>
        </w:rPr>
        <w:t>Ons hogere doel</w:t>
      </w:r>
      <w:r>
        <w:rPr>
          <w:noProof/>
        </w:rPr>
        <w:tab/>
      </w:r>
      <w:r>
        <w:rPr>
          <w:noProof/>
        </w:rPr>
        <w:fldChar w:fldCharType="begin"/>
      </w:r>
      <w:r>
        <w:rPr>
          <w:noProof/>
        </w:rPr>
        <w:instrText xml:space="preserve"> PAGEREF _Toc85118613 \h </w:instrText>
      </w:r>
      <w:r>
        <w:rPr>
          <w:noProof/>
        </w:rPr>
      </w:r>
      <w:r>
        <w:rPr>
          <w:noProof/>
        </w:rPr>
        <w:fldChar w:fldCharType="separate"/>
      </w:r>
      <w:r w:rsidR="00E61445">
        <w:rPr>
          <w:noProof/>
        </w:rPr>
        <w:t>5</w:t>
      </w:r>
      <w:r>
        <w:rPr>
          <w:noProof/>
        </w:rPr>
        <w:fldChar w:fldCharType="end"/>
      </w:r>
    </w:p>
    <w:p w14:paraId="322DE4FA" w14:textId="4EFE5714"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3.</w:t>
      </w:r>
      <w:r>
        <w:rPr>
          <w:rFonts w:asciiTheme="minorHAnsi" w:eastAsiaTheme="minorEastAsia" w:hAnsiTheme="minorHAnsi" w:cstheme="minorBidi"/>
          <w:b w:val="0"/>
          <w:caps w:val="0"/>
          <w:noProof/>
          <w:color w:val="auto"/>
          <w:shd w:val="clear" w:color="auto" w:fill="auto"/>
        </w:rPr>
        <w:tab/>
      </w:r>
      <w:r>
        <w:rPr>
          <w:noProof/>
        </w:rPr>
        <w:t>Organisatiestructuur</w:t>
      </w:r>
      <w:r>
        <w:rPr>
          <w:noProof/>
        </w:rPr>
        <w:tab/>
      </w:r>
      <w:r>
        <w:rPr>
          <w:noProof/>
        </w:rPr>
        <w:fldChar w:fldCharType="begin"/>
      </w:r>
      <w:r>
        <w:rPr>
          <w:noProof/>
        </w:rPr>
        <w:instrText xml:space="preserve"> PAGEREF _Toc85118614 \h </w:instrText>
      </w:r>
      <w:r>
        <w:rPr>
          <w:noProof/>
        </w:rPr>
      </w:r>
      <w:r>
        <w:rPr>
          <w:noProof/>
        </w:rPr>
        <w:fldChar w:fldCharType="separate"/>
      </w:r>
      <w:r w:rsidR="00E61445">
        <w:rPr>
          <w:noProof/>
        </w:rPr>
        <w:t>6</w:t>
      </w:r>
      <w:r>
        <w:rPr>
          <w:noProof/>
        </w:rPr>
        <w:fldChar w:fldCharType="end"/>
      </w:r>
    </w:p>
    <w:p w14:paraId="25B61FCA" w14:textId="7E46A95E"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4.</w:t>
      </w:r>
      <w:r>
        <w:rPr>
          <w:rFonts w:asciiTheme="minorHAnsi" w:eastAsiaTheme="minorEastAsia" w:hAnsiTheme="minorHAnsi" w:cstheme="minorBidi"/>
          <w:b w:val="0"/>
          <w:caps w:val="0"/>
          <w:noProof/>
          <w:color w:val="auto"/>
          <w:shd w:val="clear" w:color="auto" w:fill="auto"/>
        </w:rPr>
        <w:tab/>
      </w:r>
      <w:r>
        <w:rPr>
          <w:noProof/>
        </w:rPr>
        <w:t>Verantwoordelijke</w:t>
      </w:r>
      <w:r>
        <w:rPr>
          <w:noProof/>
        </w:rPr>
        <w:tab/>
      </w:r>
      <w:r>
        <w:rPr>
          <w:noProof/>
        </w:rPr>
        <w:fldChar w:fldCharType="begin"/>
      </w:r>
      <w:r>
        <w:rPr>
          <w:noProof/>
        </w:rPr>
        <w:instrText xml:space="preserve"> PAGEREF _Toc85118615 \h </w:instrText>
      </w:r>
      <w:r>
        <w:rPr>
          <w:noProof/>
        </w:rPr>
      </w:r>
      <w:r>
        <w:rPr>
          <w:noProof/>
        </w:rPr>
        <w:fldChar w:fldCharType="separate"/>
      </w:r>
      <w:r w:rsidR="00E61445">
        <w:rPr>
          <w:noProof/>
        </w:rPr>
        <w:t>8</w:t>
      </w:r>
      <w:r>
        <w:rPr>
          <w:noProof/>
        </w:rPr>
        <w:fldChar w:fldCharType="end"/>
      </w:r>
    </w:p>
    <w:p w14:paraId="56EE6179" w14:textId="5DD17BC2"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4.1</w:t>
      </w:r>
      <w:r>
        <w:rPr>
          <w:rFonts w:asciiTheme="minorHAnsi" w:eastAsiaTheme="minorEastAsia" w:hAnsiTheme="minorHAnsi" w:cstheme="minorBidi"/>
          <w:noProof/>
          <w:color w:val="auto"/>
          <w:szCs w:val="24"/>
          <w:shd w:val="clear" w:color="auto" w:fill="auto"/>
        </w:rPr>
        <w:tab/>
      </w:r>
      <w:r>
        <w:rPr>
          <w:noProof/>
        </w:rPr>
        <w:t>Basisjaar en rapportage</w:t>
      </w:r>
      <w:r>
        <w:rPr>
          <w:noProof/>
        </w:rPr>
        <w:tab/>
      </w:r>
      <w:r>
        <w:rPr>
          <w:noProof/>
        </w:rPr>
        <w:fldChar w:fldCharType="begin"/>
      </w:r>
      <w:r>
        <w:rPr>
          <w:noProof/>
        </w:rPr>
        <w:instrText xml:space="preserve"> PAGEREF _Toc85118616 \h </w:instrText>
      </w:r>
      <w:r>
        <w:rPr>
          <w:noProof/>
        </w:rPr>
      </w:r>
      <w:r>
        <w:rPr>
          <w:noProof/>
        </w:rPr>
        <w:fldChar w:fldCharType="separate"/>
      </w:r>
      <w:r w:rsidR="00E61445">
        <w:rPr>
          <w:noProof/>
        </w:rPr>
        <w:t>8</w:t>
      </w:r>
      <w:r>
        <w:rPr>
          <w:noProof/>
        </w:rPr>
        <w:fldChar w:fldCharType="end"/>
      </w:r>
    </w:p>
    <w:p w14:paraId="121E37AD" w14:textId="49FD3494"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4.2</w:t>
      </w:r>
      <w:r>
        <w:rPr>
          <w:rFonts w:asciiTheme="minorHAnsi" w:eastAsiaTheme="minorEastAsia" w:hAnsiTheme="minorHAnsi" w:cstheme="minorBidi"/>
          <w:noProof/>
          <w:color w:val="auto"/>
          <w:szCs w:val="24"/>
          <w:shd w:val="clear" w:color="auto" w:fill="auto"/>
        </w:rPr>
        <w:tab/>
      </w:r>
      <w:r>
        <w:rPr>
          <w:noProof/>
        </w:rPr>
        <w:t>Afbakening</w:t>
      </w:r>
      <w:r>
        <w:rPr>
          <w:noProof/>
        </w:rPr>
        <w:tab/>
      </w:r>
      <w:r>
        <w:rPr>
          <w:noProof/>
        </w:rPr>
        <w:fldChar w:fldCharType="begin"/>
      </w:r>
      <w:r>
        <w:rPr>
          <w:noProof/>
        </w:rPr>
        <w:instrText xml:space="preserve"> PAGEREF _Toc85118617 \h </w:instrText>
      </w:r>
      <w:r>
        <w:rPr>
          <w:noProof/>
        </w:rPr>
      </w:r>
      <w:r>
        <w:rPr>
          <w:noProof/>
        </w:rPr>
        <w:fldChar w:fldCharType="separate"/>
      </w:r>
      <w:r w:rsidR="00E61445">
        <w:rPr>
          <w:noProof/>
        </w:rPr>
        <w:t>8</w:t>
      </w:r>
      <w:r>
        <w:rPr>
          <w:noProof/>
        </w:rPr>
        <w:fldChar w:fldCharType="end"/>
      </w:r>
    </w:p>
    <w:p w14:paraId="2C4A9DB9" w14:textId="7DA92483"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5.</w:t>
      </w:r>
      <w:r>
        <w:rPr>
          <w:rFonts w:asciiTheme="minorHAnsi" w:eastAsiaTheme="minorEastAsia" w:hAnsiTheme="minorHAnsi" w:cstheme="minorBidi"/>
          <w:b w:val="0"/>
          <w:caps w:val="0"/>
          <w:noProof/>
          <w:color w:val="auto"/>
          <w:shd w:val="clear" w:color="auto" w:fill="auto"/>
        </w:rPr>
        <w:tab/>
      </w:r>
      <w:r>
        <w:rPr>
          <w:noProof/>
        </w:rPr>
        <w:t>Directe en indirecte GHG-emissies</w:t>
      </w:r>
      <w:r>
        <w:rPr>
          <w:noProof/>
        </w:rPr>
        <w:tab/>
      </w:r>
      <w:r>
        <w:rPr>
          <w:noProof/>
        </w:rPr>
        <w:fldChar w:fldCharType="begin"/>
      </w:r>
      <w:r>
        <w:rPr>
          <w:noProof/>
        </w:rPr>
        <w:instrText xml:space="preserve"> PAGEREF _Toc85118618 \h </w:instrText>
      </w:r>
      <w:r>
        <w:rPr>
          <w:noProof/>
        </w:rPr>
      </w:r>
      <w:r>
        <w:rPr>
          <w:noProof/>
        </w:rPr>
        <w:fldChar w:fldCharType="separate"/>
      </w:r>
      <w:r w:rsidR="00E61445">
        <w:rPr>
          <w:noProof/>
        </w:rPr>
        <w:t>9</w:t>
      </w:r>
      <w:r>
        <w:rPr>
          <w:noProof/>
        </w:rPr>
        <w:fldChar w:fldCharType="end"/>
      </w:r>
    </w:p>
    <w:p w14:paraId="45918CB0" w14:textId="311997D8"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cs="Lucida Sans Unicode"/>
          <w:bCs/>
          <w:noProof/>
          <w:color w:val="86B34D"/>
        </w:rPr>
        <w:t>5.1</w:t>
      </w:r>
      <w:r>
        <w:rPr>
          <w:rFonts w:asciiTheme="minorHAnsi" w:eastAsiaTheme="minorEastAsia" w:hAnsiTheme="minorHAnsi" w:cstheme="minorBidi"/>
          <w:noProof/>
          <w:color w:val="auto"/>
          <w:szCs w:val="24"/>
          <w:shd w:val="clear" w:color="auto" w:fill="auto"/>
        </w:rPr>
        <w:tab/>
      </w:r>
      <w:r>
        <w:rPr>
          <w:noProof/>
        </w:rPr>
        <w:t>Berekende GHG emissies</w:t>
      </w:r>
      <w:r>
        <w:rPr>
          <w:noProof/>
        </w:rPr>
        <w:tab/>
      </w:r>
      <w:r>
        <w:rPr>
          <w:noProof/>
        </w:rPr>
        <w:fldChar w:fldCharType="begin"/>
      </w:r>
      <w:r>
        <w:rPr>
          <w:noProof/>
        </w:rPr>
        <w:instrText xml:space="preserve"> PAGEREF _Toc85118619 \h </w:instrText>
      </w:r>
      <w:r>
        <w:rPr>
          <w:noProof/>
        </w:rPr>
      </w:r>
      <w:r>
        <w:rPr>
          <w:noProof/>
        </w:rPr>
        <w:fldChar w:fldCharType="separate"/>
      </w:r>
      <w:r w:rsidR="00E61445">
        <w:rPr>
          <w:noProof/>
        </w:rPr>
        <w:t>9</w:t>
      </w:r>
      <w:r>
        <w:rPr>
          <w:noProof/>
        </w:rPr>
        <w:fldChar w:fldCharType="end"/>
      </w:r>
    </w:p>
    <w:p w14:paraId="7BCF048A" w14:textId="46F362B7"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5.2</w:t>
      </w:r>
      <w:r>
        <w:rPr>
          <w:rFonts w:asciiTheme="minorHAnsi" w:eastAsiaTheme="minorEastAsia" w:hAnsiTheme="minorHAnsi" w:cstheme="minorBidi"/>
          <w:noProof/>
          <w:color w:val="auto"/>
          <w:szCs w:val="24"/>
          <w:shd w:val="clear" w:color="auto" w:fill="auto"/>
        </w:rPr>
        <w:tab/>
      </w:r>
      <w:r>
        <w:rPr>
          <w:noProof/>
        </w:rPr>
        <w:t>Verbranding biomassa</w:t>
      </w:r>
      <w:r>
        <w:rPr>
          <w:noProof/>
        </w:rPr>
        <w:tab/>
      </w:r>
      <w:r>
        <w:rPr>
          <w:noProof/>
        </w:rPr>
        <w:fldChar w:fldCharType="begin"/>
      </w:r>
      <w:r>
        <w:rPr>
          <w:noProof/>
        </w:rPr>
        <w:instrText xml:space="preserve"> PAGEREF _Toc85118620 \h </w:instrText>
      </w:r>
      <w:r>
        <w:rPr>
          <w:noProof/>
        </w:rPr>
      </w:r>
      <w:r>
        <w:rPr>
          <w:noProof/>
        </w:rPr>
        <w:fldChar w:fldCharType="separate"/>
      </w:r>
      <w:r w:rsidR="00E61445">
        <w:rPr>
          <w:noProof/>
        </w:rPr>
        <w:t>11</w:t>
      </w:r>
      <w:r>
        <w:rPr>
          <w:noProof/>
        </w:rPr>
        <w:fldChar w:fldCharType="end"/>
      </w:r>
    </w:p>
    <w:p w14:paraId="4FEE22B6" w14:textId="7376F3A4"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5.3</w:t>
      </w:r>
      <w:r>
        <w:rPr>
          <w:rFonts w:asciiTheme="minorHAnsi" w:eastAsiaTheme="minorEastAsia" w:hAnsiTheme="minorHAnsi" w:cstheme="minorBidi"/>
          <w:noProof/>
          <w:color w:val="auto"/>
          <w:szCs w:val="24"/>
          <w:shd w:val="clear" w:color="auto" w:fill="auto"/>
        </w:rPr>
        <w:tab/>
      </w:r>
      <w:r>
        <w:rPr>
          <w:noProof/>
        </w:rPr>
        <w:t>GHG verwijderingen</w:t>
      </w:r>
      <w:r>
        <w:rPr>
          <w:noProof/>
        </w:rPr>
        <w:tab/>
      </w:r>
      <w:r>
        <w:rPr>
          <w:noProof/>
        </w:rPr>
        <w:fldChar w:fldCharType="begin"/>
      </w:r>
      <w:r>
        <w:rPr>
          <w:noProof/>
        </w:rPr>
        <w:instrText xml:space="preserve"> PAGEREF _Toc85118621 \h </w:instrText>
      </w:r>
      <w:r>
        <w:rPr>
          <w:noProof/>
        </w:rPr>
      </w:r>
      <w:r>
        <w:rPr>
          <w:noProof/>
        </w:rPr>
        <w:fldChar w:fldCharType="separate"/>
      </w:r>
      <w:r w:rsidR="00E61445">
        <w:rPr>
          <w:noProof/>
        </w:rPr>
        <w:t>11</w:t>
      </w:r>
      <w:r>
        <w:rPr>
          <w:noProof/>
        </w:rPr>
        <w:fldChar w:fldCharType="end"/>
      </w:r>
    </w:p>
    <w:p w14:paraId="7DB66E44" w14:textId="52DF2E5D"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5.4</w:t>
      </w:r>
      <w:r>
        <w:rPr>
          <w:rFonts w:asciiTheme="minorHAnsi" w:eastAsiaTheme="minorEastAsia" w:hAnsiTheme="minorHAnsi" w:cstheme="minorBidi"/>
          <w:noProof/>
          <w:color w:val="auto"/>
          <w:szCs w:val="24"/>
          <w:shd w:val="clear" w:color="auto" w:fill="auto"/>
        </w:rPr>
        <w:tab/>
      </w:r>
      <w:r>
        <w:rPr>
          <w:noProof/>
        </w:rPr>
        <w:t>Uitsluitingen</w:t>
      </w:r>
      <w:r>
        <w:rPr>
          <w:noProof/>
        </w:rPr>
        <w:tab/>
      </w:r>
      <w:r>
        <w:rPr>
          <w:noProof/>
        </w:rPr>
        <w:fldChar w:fldCharType="begin"/>
      </w:r>
      <w:r>
        <w:rPr>
          <w:noProof/>
        </w:rPr>
        <w:instrText xml:space="preserve"> PAGEREF _Toc85118622 \h </w:instrText>
      </w:r>
      <w:r>
        <w:rPr>
          <w:noProof/>
        </w:rPr>
      </w:r>
      <w:r>
        <w:rPr>
          <w:noProof/>
        </w:rPr>
        <w:fldChar w:fldCharType="separate"/>
      </w:r>
      <w:r w:rsidR="00E61445">
        <w:rPr>
          <w:noProof/>
        </w:rPr>
        <w:t>11</w:t>
      </w:r>
      <w:r>
        <w:rPr>
          <w:noProof/>
        </w:rPr>
        <w:fldChar w:fldCharType="end"/>
      </w:r>
    </w:p>
    <w:p w14:paraId="5AB111D9" w14:textId="146E5FBE"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5.5</w:t>
      </w:r>
      <w:r>
        <w:rPr>
          <w:rFonts w:asciiTheme="minorHAnsi" w:eastAsiaTheme="minorEastAsia" w:hAnsiTheme="minorHAnsi" w:cstheme="minorBidi"/>
          <w:noProof/>
          <w:color w:val="auto"/>
          <w:szCs w:val="24"/>
          <w:shd w:val="clear" w:color="auto" w:fill="auto"/>
        </w:rPr>
        <w:tab/>
      </w:r>
      <w:r>
        <w:rPr>
          <w:noProof/>
        </w:rPr>
        <w:t>Belangrijkste beïnvloeders</w:t>
      </w:r>
      <w:r>
        <w:rPr>
          <w:noProof/>
        </w:rPr>
        <w:tab/>
      </w:r>
      <w:r>
        <w:rPr>
          <w:noProof/>
        </w:rPr>
        <w:fldChar w:fldCharType="begin"/>
      </w:r>
      <w:r>
        <w:rPr>
          <w:noProof/>
        </w:rPr>
        <w:instrText xml:space="preserve"> PAGEREF _Toc85118623 \h </w:instrText>
      </w:r>
      <w:r>
        <w:rPr>
          <w:noProof/>
        </w:rPr>
      </w:r>
      <w:r>
        <w:rPr>
          <w:noProof/>
        </w:rPr>
        <w:fldChar w:fldCharType="separate"/>
      </w:r>
      <w:r w:rsidR="00E61445">
        <w:rPr>
          <w:noProof/>
        </w:rPr>
        <w:t>11</w:t>
      </w:r>
      <w:r>
        <w:rPr>
          <w:noProof/>
        </w:rPr>
        <w:fldChar w:fldCharType="end"/>
      </w:r>
    </w:p>
    <w:p w14:paraId="5606A871" w14:textId="7DC1AF29"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5.6</w:t>
      </w:r>
      <w:r>
        <w:rPr>
          <w:rFonts w:asciiTheme="minorHAnsi" w:eastAsiaTheme="minorEastAsia" w:hAnsiTheme="minorHAnsi" w:cstheme="minorBidi"/>
          <w:noProof/>
          <w:color w:val="auto"/>
          <w:szCs w:val="24"/>
          <w:shd w:val="clear" w:color="auto" w:fill="auto"/>
        </w:rPr>
        <w:tab/>
      </w:r>
      <w:r>
        <w:rPr>
          <w:noProof/>
        </w:rPr>
        <w:t>Toekomst</w:t>
      </w:r>
      <w:r>
        <w:rPr>
          <w:noProof/>
        </w:rPr>
        <w:tab/>
      </w:r>
      <w:r>
        <w:rPr>
          <w:noProof/>
        </w:rPr>
        <w:fldChar w:fldCharType="begin"/>
      </w:r>
      <w:r>
        <w:rPr>
          <w:noProof/>
        </w:rPr>
        <w:instrText xml:space="preserve"> PAGEREF _Toc85118624 \h </w:instrText>
      </w:r>
      <w:r>
        <w:rPr>
          <w:noProof/>
        </w:rPr>
      </w:r>
      <w:r>
        <w:rPr>
          <w:noProof/>
        </w:rPr>
        <w:fldChar w:fldCharType="separate"/>
      </w:r>
      <w:r w:rsidR="00E61445">
        <w:rPr>
          <w:noProof/>
        </w:rPr>
        <w:t>11</w:t>
      </w:r>
      <w:r>
        <w:rPr>
          <w:noProof/>
        </w:rPr>
        <w:fldChar w:fldCharType="end"/>
      </w:r>
    </w:p>
    <w:p w14:paraId="5878E57E" w14:textId="12D15F64"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5.7</w:t>
      </w:r>
      <w:r>
        <w:rPr>
          <w:rFonts w:asciiTheme="minorHAnsi" w:eastAsiaTheme="minorEastAsia" w:hAnsiTheme="minorHAnsi" w:cstheme="minorBidi"/>
          <w:noProof/>
          <w:color w:val="auto"/>
          <w:szCs w:val="24"/>
          <w:shd w:val="clear" w:color="auto" w:fill="auto"/>
        </w:rPr>
        <w:tab/>
      </w:r>
      <w:r>
        <w:rPr>
          <w:noProof/>
        </w:rPr>
        <w:t>Significante veranderingen</w:t>
      </w:r>
      <w:r>
        <w:rPr>
          <w:noProof/>
        </w:rPr>
        <w:tab/>
      </w:r>
      <w:r>
        <w:rPr>
          <w:noProof/>
        </w:rPr>
        <w:fldChar w:fldCharType="begin"/>
      </w:r>
      <w:r>
        <w:rPr>
          <w:noProof/>
        </w:rPr>
        <w:instrText xml:space="preserve"> PAGEREF _Toc85118625 \h </w:instrText>
      </w:r>
      <w:r>
        <w:rPr>
          <w:noProof/>
        </w:rPr>
      </w:r>
      <w:r>
        <w:rPr>
          <w:noProof/>
        </w:rPr>
        <w:fldChar w:fldCharType="separate"/>
      </w:r>
      <w:r w:rsidR="00E61445">
        <w:rPr>
          <w:noProof/>
        </w:rPr>
        <w:t>11</w:t>
      </w:r>
      <w:r>
        <w:rPr>
          <w:noProof/>
        </w:rPr>
        <w:fldChar w:fldCharType="end"/>
      </w:r>
    </w:p>
    <w:p w14:paraId="310908F0" w14:textId="4981889B"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6.</w:t>
      </w:r>
      <w:r>
        <w:rPr>
          <w:rFonts w:asciiTheme="minorHAnsi" w:eastAsiaTheme="minorEastAsia" w:hAnsiTheme="minorHAnsi" w:cstheme="minorBidi"/>
          <w:b w:val="0"/>
          <w:caps w:val="0"/>
          <w:noProof/>
          <w:color w:val="auto"/>
          <w:shd w:val="clear" w:color="auto" w:fill="auto"/>
        </w:rPr>
        <w:tab/>
      </w:r>
      <w:r>
        <w:rPr>
          <w:noProof/>
        </w:rPr>
        <w:t>Kwantificeringsmethoden</w:t>
      </w:r>
      <w:r>
        <w:rPr>
          <w:noProof/>
        </w:rPr>
        <w:tab/>
      </w:r>
      <w:r>
        <w:rPr>
          <w:noProof/>
        </w:rPr>
        <w:fldChar w:fldCharType="begin"/>
      </w:r>
      <w:r>
        <w:rPr>
          <w:noProof/>
        </w:rPr>
        <w:instrText xml:space="preserve"> PAGEREF _Toc85118626 \h </w:instrText>
      </w:r>
      <w:r>
        <w:rPr>
          <w:noProof/>
        </w:rPr>
      </w:r>
      <w:r>
        <w:rPr>
          <w:noProof/>
        </w:rPr>
        <w:fldChar w:fldCharType="separate"/>
      </w:r>
      <w:r w:rsidR="00E61445">
        <w:rPr>
          <w:noProof/>
        </w:rPr>
        <w:t>12</w:t>
      </w:r>
      <w:r>
        <w:rPr>
          <w:noProof/>
        </w:rPr>
        <w:fldChar w:fldCharType="end"/>
      </w:r>
    </w:p>
    <w:p w14:paraId="42A8A3D2" w14:textId="20840386"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7.</w:t>
      </w:r>
      <w:r>
        <w:rPr>
          <w:rFonts w:asciiTheme="minorHAnsi" w:eastAsiaTheme="minorEastAsia" w:hAnsiTheme="minorHAnsi" w:cstheme="minorBidi"/>
          <w:b w:val="0"/>
          <w:caps w:val="0"/>
          <w:noProof/>
          <w:color w:val="auto"/>
          <w:shd w:val="clear" w:color="auto" w:fill="auto"/>
        </w:rPr>
        <w:tab/>
      </w:r>
      <w:r>
        <w:rPr>
          <w:noProof/>
        </w:rPr>
        <w:t>Emissiefactoren</w:t>
      </w:r>
      <w:r>
        <w:rPr>
          <w:noProof/>
        </w:rPr>
        <w:tab/>
      </w:r>
      <w:r>
        <w:rPr>
          <w:noProof/>
        </w:rPr>
        <w:fldChar w:fldCharType="begin"/>
      </w:r>
      <w:r>
        <w:rPr>
          <w:noProof/>
        </w:rPr>
        <w:instrText xml:space="preserve"> PAGEREF _Toc85118627 \h </w:instrText>
      </w:r>
      <w:r>
        <w:rPr>
          <w:noProof/>
        </w:rPr>
      </w:r>
      <w:r>
        <w:rPr>
          <w:noProof/>
        </w:rPr>
        <w:fldChar w:fldCharType="separate"/>
      </w:r>
      <w:r w:rsidR="00E61445">
        <w:rPr>
          <w:noProof/>
        </w:rPr>
        <w:t>13</w:t>
      </w:r>
      <w:r>
        <w:rPr>
          <w:noProof/>
        </w:rPr>
        <w:fldChar w:fldCharType="end"/>
      </w:r>
    </w:p>
    <w:p w14:paraId="5AA197D0" w14:textId="1234C8EB"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8.</w:t>
      </w:r>
      <w:r>
        <w:rPr>
          <w:rFonts w:asciiTheme="minorHAnsi" w:eastAsiaTheme="minorEastAsia" w:hAnsiTheme="minorHAnsi" w:cstheme="minorBidi"/>
          <w:b w:val="0"/>
          <w:caps w:val="0"/>
          <w:noProof/>
          <w:color w:val="auto"/>
          <w:shd w:val="clear" w:color="auto" w:fill="auto"/>
        </w:rPr>
        <w:tab/>
      </w:r>
      <w:r>
        <w:rPr>
          <w:noProof/>
        </w:rPr>
        <w:t>Onzekerheden</w:t>
      </w:r>
      <w:r>
        <w:rPr>
          <w:noProof/>
        </w:rPr>
        <w:tab/>
      </w:r>
      <w:r>
        <w:rPr>
          <w:noProof/>
        </w:rPr>
        <w:fldChar w:fldCharType="begin"/>
      </w:r>
      <w:r>
        <w:rPr>
          <w:noProof/>
        </w:rPr>
        <w:instrText xml:space="preserve"> PAGEREF _Toc85118628 \h </w:instrText>
      </w:r>
      <w:r>
        <w:rPr>
          <w:noProof/>
        </w:rPr>
      </w:r>
      <w:r>
        <w:rPr>
          <w:noProof/>
        </w:rPr>
        <w:fldChar w:fldCharType="separate"/>
      </w:r>
      <w:r w:rsidR="00E61445">
        <w:rPr>
          <w:noProof/>
        </w:rPr>
        <w:t>14</w:t>
      </w:r>
      <w:r>
        <w:rPr>
          <w:noProof/>
        </w:rPr>
        <w:fldChar w:fldCharType="end"/>
      </w:r>
    </w:p>
    <w:p w14:paraId="0449EF51" w14:textId="129E49B0"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9.</w:t>
      </w:r>
      <w:r>
        <w:rPr>
          <w:rFonts w:asciiTheme="minorHAnsi" w:eastAsiaTheme="minorEastAsia" w:hAnsiTheme="minorHAnsi" w:cstheme="minorBidi"/>
          <w:b w:val="0"/>
          <w:caps w:val="0"/>
          <w:noProof/>
          <w:color w:val="auto"/>
          <w:shd w:val="clear" w:color="auto" w:fill="auto"/>
        </w:rPr>
        <w:tab/>
      </w:r>
      <w:r>
        <w:rPr>
          <w:noProof/>
        </w:rPr>
        <w:t>Rapportage volgens ISO 14064</w:t>
      </w:r>
      <w:r>
        <w:rPr>
          <w:noProof/>
        </w:rPr>
        <w:tab/>
      </w:r>
      <w:r>
        <w:rPr>
          <w:noProof/>
        </w:rPr>
        <w:fldChar w:fldCharType="begin"/>
      </w:r>
      <w:r>
        <w:rPr>
          <w:noProof/>
        </w:rPr>
        <w:instrText xml:space="preserve"> PAGEREF _Toc85118629 \h </w:instrText>
      </w:r>
      <w:r>
        <w:rPr>
          <w:noProof/>
        </w:rPr>
      </w:r>
      <w:r>
        <w:rPr>
          <w:noProof/>
        </w:rPr>
        <w:fldChar w:fldCharType="separate"/>
      </w:r>
      <w:r w:rsidR="00E61445">
        <w:rPr>
          <w:noProof/>
        </w:rPr>
        <w:t>15</w:t>
      </w:r>
      <w:r>
        <w:rPr>
          <w:noProof/>
        </w:rPr>
        <w:fldChar w:fldCharType="end"/>
      </w:r>
    </w:p>
    <w:p w14:paraId="236EA75B" w14:textId="39D66371"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10.</w:t>
      </w:r>
      <w:r>
        <w:rPr>
          <w:rFonts w:asciiTheme="minorHAnsi" w:eastAsiaTheme="minorEastAsia" w:hAnsiTheme="minorHAnsi" w:cstheme="minorBidi"/>
          <w:b w:val="0"/>
          <w:caps w:val="0"/>
          <w:noProof/>
          <w:color w:val="auto"/>
          <w:shd w:val="clear" w:color="auto" w:fill="auto"/>
        </w:rPr>
        <w:tab/>
      </w:r>
      <w:r>
        <w:rPr>
          <w:noProof/>
        </w:rPr>
        <w:t>Energieaudit verslag</w:t>
      </w:r>
      <w:r>
        <w:rPr>
          <w:noProof/>
        </w:rPr>
        <w:tab/>
      </w:r>
      <w:r>
        <w:rPr>
          <w:noProof/>
        </w:rPr>
        <w:fldChar w:fldCharType="begin"/>
      </w:r>
      <w:r>
        <w:rPr>
          <w:noProof/>
        </w:rPr>
        <w:instrText xml:space="preserve"> PAGEREF _Toc85118630 \h </w:instrText>
      </w:r>
      <w:r>
        <w:rPr>
          <w:noProof/>
        </w:rPr>
      </w:r>
      <w:r>
        <w:rPr>
          <w:noProof/>
        </w:rPr>
        <w:fldChar w:fldCharType="separate"/>
      </w:r>
      <w:r w:rsidR="00E61445">
        <w:rPr>
          <w:noProof/>
        </w:rPr>
        <w:t>16</w:t>
      </w:r>
      <w:r>
        <w:rPr>
          <w:noProof/>
        </w:rPr>
        <w:fldChar w:fldCharType="end"/>
      </w:r>
    </w:p>
    <w:p w14:paraId="671718FC" w14:textId="6EF8B58A"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10.1</w:t>
      </w:r>
      <w:r>
        <w:rPr>
          <w:rFonts w:asciiTheme="minorHAnsi" w:eastAsiaTheme="minorEastAsia" w:hAnsiTheme="minorHAnsi" w:cstheme="minorBidi"/>
          <w:noProof/>
          <w:color w:val="auto"/>
          <w:szCs w:val="24"/>
          <w:shd w:val="clear" w:color="auto" w:fill="auto"/>
        </w:rPr>
        <w:tab/>
      </w:r>
      <w:r>
        <w:rPr>
          <w:noProof/>
        </w:rPr>
        <w:t>Analyse van het huidige en historisch energieverbruik</w:t>
      </w:r>
      <w:r>
        <w:rPr>
          <w:noProof/>
        </w:rPr>
        <w:tab/>
      </w:r>
      <w:r>
        <w:rPr>
          <w:noProof/>
        </w:rPr>
        <w:fldChar w:fldCharType="begin"/>
      </w:r>
      <w:r>
        <w:rPr>
          <w:noProof/>
        </w:rPr>
        <w:instrText xml:space="preserve"> PAGEREF _Toc85118631 \h </w:instrText>
      </w:r>
      <w:r>
        <w:rPr>
          <w:noProof/>
        </w:rPr>
      </w:r>
      <w:r>
        <w:rPr>
          <w:noProof/>
        </w:rPr>
        <w:fldChar w:fldCharType="separate"/>
      </w:r>
      <w:r w:rsidR="00E61445">
        <w:rPr>
          <w:noProof/>
        </w:rPr>
        <w:t>16</w:t>
      </w:r>
      <w:r>
        <w:rPr>
          <w:noProof/>
        </w:rPr>
        <w:fldChar w:fldCharType="end"/>
      </w:r>
    </w:p>
    <w:p w14:paraId="7C266DF6" w14:textId="3E731A9D"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eastAsia="Calibri" w:hAnsiTheme="minorHAnsi"/>
          <w:noProof/>
          <w:color w:val="86B34D"/>
        </w:rPr>
        <w:t>11.</w:t>
      </w:r>
      <w:r>
        <w:rPr>
          <w:rFonts w:asciiTheme="minorHAnsi" w:eastAsiaTheme="minorEastAsia" w:hAnsiTheme="minorHAnsi" w:cstheme="minorBidi"/>
          <w:b w:val="0"/>
          <w:caps w:val="0"/>
          <w:noProof/>
          <w:color w:val="auto"/>
          <w:shd w:val="clear" w:color="auto" w:fill="auto"/>
        </w:rPr>
        <w:tab/>
      </w:r>
      <w:r w:rsidRPr="00A74BDD">
        <w:rPr>
          <w:rFonts w:eastAsia="Calibri"/>
          <w:noProof/>
        </w:rPr>
        <w:t>Conslusie</w:t>
      </w:r>
      <w:r>
        <w:rPr>
          <w:noProof/>
        </w:rPr>
        <w:tab/>
      </w:r>
      <w:r>
        <w:rPr>
          <w:noProof/>
        </w:rPr>
        <w:fldChar w:fldCharType="begin"/>
      </w:r>
      <w:r>
        <w:rPr>
          <w:noProof/>
        </w:rPr>
        <w:instrText xml:space="preserve"> PAGEREF _Toc85118632 \h </w:instrText>
      </w:r>
      <w:r>
        <w:rPr>
          <w:noProof/>
        </w:rPr>
      </w:r>
      <w:r>
        <w:rPr>
          <w:noProof/>
        </w:rPr>
        <w:fldChar w:fldCharType="separate"/>
      </w:r>
      <w:r w:rsidR="00E61445">
        <w:rPr>
          <w:noProof/>
        </w:rPr>
        <w:t>17</w:t>
      </w:r>
      <w:r>
        <w:rPr>
          <w:noProof/>
        </w:rPr>
        <w:fldChar w:fldCharType="end"/>
      </w:r>
    </w:p>
    <w:p w14:paraId="69555E37" w14:textId="4422E4F9"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12.</w:t>
      </w:r>
      <w:r>
        <w:rPr>
          <w:rFonts w:asciiTheme="minorHAnsi" w:eastAsiaTheme="minorEastAsia" w:hAnsiTheme="minorHAnsi" w:cstheme="minorBidi"/>
          <w:b w:val="0"/>
          <w:caps w:val="0"/>
          <w:noProof/>
          <w:color w:val="auto"/>
          <w:shd w:val="clear" w:color="auto" w:fill="auto"/>
        </w:rPr>
        <w:tab/>
      </w:r>
      <w:r>
        <w:rPr>
          <w:noProof/>
        </w:rPr>
        <w:t>Identificatie van significant energieverbruik</w:t>
      </w:r>
      <w:r>
        <w:rPr>
          <w:noProof/>
        </w:rPr>
        <w:tab/>
      </w:r>
      <w:r>
        <w:rPr>
          <w:noProof/>
        </w:rPr>
        <w:fldChar w:fldCharType="begin"/>
      </w:r>
      <w:r>
        <w:rPr>
          <w:noProof/>
        </w:rPr>
        <w:instrText xml:space="preserve"> PAGEREF _Toc85118633 \h </w:instrText>
      </w:r>
      <w:r>
        <w:rPr>
          <w:noProof/>
        </w:rPr>
      </w:r>
      <w:r>
        <w:rPr>
          <w:noProof/>
        </w:rPr>
        <w:fldChar w:fldCharType="separate"/>
      </w:r>
      <w:r w:rsidR="00E61445">
        <w:rPr>
          <w:noProof/>
        </w:rPr>
        <w:t>18</w:t>
      </w:r>
      <w:r>
        <w:rPr>
          <w:noProof/>
        </w:rPr>
        <w:fldChar w:fldCharType="end"/>
      </w:r>
    </w:p>
    <w:p w14:paraId="0B0C5AE5" w14:textId="4B7A6477" w:rsidR="003A37C8" w:rsidRDefault="003A37C8">
      <w:pPr>
        <w:pStyle w:val="Inhopg1"/>
        <w:rPr>
          <w:rFonts w:asciiTheme="minorHAnsi" w:eastAsiaTheme="minorEastAsia" w:hAnsiTheme="minorHAnsi" w:cstheme="minorBidi"/>
          <w:b w:val="0"/>
          <w:caps w:val="0"/>
          <w:noProof/>
          <w:color w:val="auto"/>
          <w:shd w:val="clear" w:color="auto" w:fill="auto"/>
        </w:rPr>
      </w:pPr>
      <w:r w:rsidRPr="00A74BDD">
        <w:rPr>
          <w:rFonts w:asciiTheme="minorHAnsi" w:hAnsiTheme="minorHAnsi"/>
          <w:noProof/>
          <w:color w:val="86B34D"/>
        </w:rPr>
        <w:t>13.</w:t>
      </w:r>
      <w:r>
        <w:rPr>
          <w:rFonts w:asciiTheme="minorHAnsi" w:eastAsiaTheme="minorEastAsia" w:hAnsiTheme="minorHAnsi" w:cstheme="minorBidi"/>
          <w:b w:val="0"/>
          <w:caps w:val="0"/>
          <w:noProof/>
          <w:color w:val="auto"/>
          <w:shd w:val="clear" w:color="auto" w:fill="auto"/>
        </w:rPr>
        <w:tab/>
      </w:r>
      <w:r>
        <w:rPr>
          <w:noProof/>
        </w:rPr>
        <w:t>Vastleggen van prioriteiten en opportuniteiten</w:t>
      </w:r>
      <w:r>
        <w:rPr>
          <w:noProof/>
        </w:rPr>
        <w:tab/>
      </w:r>
      <w:r>
        <w:rPr>
          <w:noProof/>
        </w:rPr>
        <w:fldChar w:fldCharType="begin"/>
      </w:r>
      <w:r>
        <w:rPr>
          <w:noProof/>
        </w:rPr>
        <w:instrText xml:space="preserve"> PAGEREF _Toc85118634 \h </w:instrText>
      </w:r>
      <w:r>
        <w:rPr>
          <w:noProof/>
        </w:rPr>
      </w:r>
      <w:r>
        <w:rPr>
          <w:noProof/>
        </w:rPr>
        <w:fldChar w:fldCharType="separate"/>
      </w:r>
      <w:r w:rsidR="00E61445">
        <w:rPr>
          <w:noProof/>
        </w:rPr>
        <w:t>19</w:t>
      </w:r>
      <w:r>
        <w:rPr>
          <w:noProof/>
        </w:rPr>
        <w:fldChar w:fldCharType="end"/>
      </w:r>
    </w:p>
    <w:p w14:paraId="7407C0C8" w14:textId="3BE554B0"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13.1</w:t>
      </w:r>
      <w:r>
        <w:rPr>
          <w:rFonts w:asciiTheme="minorHAnsi" w:eastAsiaTheme="minorEastAsia" w:hAnsiTheme="minorHAnsi" w:cstheme="minorBidi"/>
          <w:noProof/>
          <w:color w:val="auto"/>
          <w:szCs w:val="24"/>
          <w:shd w:val="clear" w:color="auto" w:fill="auto"/>
        </w:rPr>
        <w:tab/>
      </w:r>
      <w:r>
        <w:rPr>
          <w:noProof/>
        </w:rPr>
        <w:t>Bedrijfsvoertuigen:</w:t>
      </w:r>
      <w:r>
        <w:rPr>
          <w:noProof/>
        </w:rPr>
        <w:tab/>
      </w:r>
      <w:r>
        <w:rPr>
          <w:noProof/>
        </w:rPr>
        <w:fldChar w:fldCharType="begin"/>
      </w:r>
      <w:r>
        <w:rPr>
          <w:noProof/>
        </w:rPr>
        <w:instrText xml:space="preserve"> PAGEREF _Toc85118635 \h </w:instrText>
      </w:r>
      <w:r>
        <w:rPr>
          <w:noProof/>
        </w:rPr>
      </w:r>
      <w:r>
        <w:rPr>
          <w:noProof/>
        </w:rPr>
        <w:fldChar w:fldCharType="separate"/>
      </w:r>
      <w:r w:rsidR="00E61445">
        <w:rPr>
          <w:noProof/>
        </w:rPr>
        <w:t>19</w:t>
      </w:r>
      <w:r>
        <w:rPr>
          <w:noProof/>
        </w:rPr>
        <w:fldChar w:fldCharType="end"/>
      </w:r>
    </w:p>
    <w:p w14:paraId="687B9E55" w14:textId="4DD0A302" w:rsidR="003A37C8" w:rsidRDefault="003A37C8">
      <w:pPr>
        <w:pStyle w:val="Inhopg2"/>
        <w:rPr>
          <w:rFonts w:asciiTheme="minorHAnsi" w:eastAsiaTheme="minorEastAsia" w:hAnsiTheme="minorHAnsi" w:cstheme="minorBidi"/>
          <w:noProof/>
          <w:color w:val="auto"/>
          <w:szCs w:val="24"/>
          <w:shd w:val="clear" w:color="auto" w:fill="auto"/>
        </w:rPr>
      </w:pPr>
      <w:r w:rsidRPr="00A74BDD">
        <w:rPr>
          <w:rFonts w:asciiTheme="minorHAnsi" w:hAnsiTheme="minorHAnsi"/>
          <w:noProof/>
          <w:color w:val="86B34D"/>
        </w:rPr>
        <w:t>13.2</w:t>
      </w:r>
      <w:r>
        <w:rPr>
          <w:rFonts w:asciiTheme="minorHAnsi" w:eastAsiaTheme="minorEastAsia" w:hAnsiTheme="minorHAnsi" w:cstheme="minorBidi"/>
          <w:noProof/>
          <w:color w:val="auto"/>
          <w:szCs w:val="24"/>
          <w:shd w:val="clear" w:color="auto" w:fill="auto"/>
        </w:rPr>
        <w:tab/>
      </w:r>
      <w:r>
        <w:rPr>
          <w:noProof/>
        </w:rPr>
        <w:t>Kantoren:</w:t>
      </w:r>
      <w:r>
        <w:rPr>
          <w:noProof/>
        </w:rPr>
        <w:tab/>
      </w:r>
      <w:r>
        <w:rPr>
          <w:noProof/>
        </w:rPr>
        <w:fldChar w:fldCharType="begin"/>
      </w:r>
      <w:r>
        <w:rPr>
          <w:noProof/>
        </w:rPr>
        <w:instrText xml:space="preserve"> PAGEREF _Toc85118636 \h </w:instrText>
      </w:r>
      <w:r>
        <w:rPr>
          <w:noProof/>
        </w:rPr>
      </w:r>
      <w:r>
        <w:rPr>
          <w:noProof/>
        </w:rPr>
        <w:fldChar w:fldCharType="separate"/>
      </w:r>
      <w:r w:rsidR="00E61445">
        <w:rPr>
          <w:noProof/>
        </w:rPr>
        <w:t>19</w:t>
      </w:r>
      <w:r>
        <w:rPr>
          <w:noProof/>
        </w:rPr>
        <w:fldChar w:fldCharType="end"/>
      </w:r>
    </w:p>
    <w:p w14:paraId="6B181BC6" w14:textId="77777777" w:rsidR="00B65A74" w:rsidRPr="00642F18" w:rsidRDefault="00815208" w:rsidP="00815208">
      <w:pPr>
        <w:pStyle w:val="Inhopg1"/>
        <w:rPr>
          <w:shd w:val="clear" w:color="auto" w:fill="auto"/>
        </w:rPr>
      </w:pPr>
      <w:r>
        <w:rPr>
          <w:shd w:val="clear" w:color="auto" w:fill="auto"/>
        </w:rPr>
        <w:lastRenderedPageBreak/>
        <w:fldChar w:fldCharType="end"/>
      </w:r>
    </w:p>
    <w:p w14:paraId="16EE5885" w14:textId="77777777" w:rsidR="00B65A74" w:rsidRPr="00642F18" w:rsidRDefault="00985D91" w:rsidP="004D473A">
      <w:r w:rsidRPr="00642F18">
        <w:rPr>
          <w:noProof/>
        </w:rPr>
        <mc:AlternateContent>
          <mc:Choice Requires="wps">
            <w:drawing>
              <wp:anchor distT="0" distB="0" distL="114300" distR="114300" simplePos="0" relativeHeight="251670528" behindDoc="0" locked="1" layoutInCell="1" allowOverlap="1" wp14:anchorId="178AF7E3" wp14:editId="4954750A">
                <wp:simplePos x="0" y="0"/>
                <wp:positionH relativeFrom="column">
                  <wp:posOffset>-175895</wp:posOffset>
                </wp:positionH>
                <wp:positionV relativeFrom="page">
                  <wp:posOffset>8010525</wp:posOffset>
                </wp:positionV>
                <wp:extent cx="2983865" cy="1371600"/>
                <wp:effectExtent l="0" t="0" r="13335" b="12700"/>
                <wp:wrapTopAndBottom/>
                <wp:docPr id="10" name="Tekstvak 10"/>
                <wp:cNvGraphicFramePr/>
                <a:graphic xmlns:a="http://schemas.openxmlformats.org/drawingml/2006/main">
                  <a:graphicData uri="http://schemas.microsoft.com/office/word/2010/wordprocessingShape">
                    <wps:wsp>
                      <wps:cNvSpPr txBox="1"/>
                      <wps:spPr>
                        <a:xfrm>
                          <a:off x="0" y="0"/>
                          <a:ext cx="2983865" cy="1371600"/>
                        </a:xfrm>
                        <a:prstGeom prst="rect">
                          <a:avLst/>
                        </a:prstGeom>
                        <a:noFill/>
                        <a:ln w="6350" cap="rnd">
                          <a:solidFill>
                            <a:srgbClr val="13A4C2"/>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AC91E3E" w14:textId="77777777" w:rsidR="00985D91" w:rsidRPr="00067D1E" w:rsidRDefault="00985D91" w:rsidP="00067D1E">
                            <w:pPr>
                              <w:pStyle w:val="MOBColofonCopyright"/>
                            </w:pPr>
                            <w:r w:rsidRPr="00067D1E">
                              <w:t>Colofon</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AF7E3" id="Tekstvak 10" o:spid="_x0000_s1027" type="#_x0000_t202" style="position:absolute;margin-left:-13.85pt;margin-top:630.75pt;width:234.95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" filled="f" strokecolor="#13a4c2" strokeweight=".5pt">
                <v:stroke dashstyle="dash" endcap="round"/>
                <v:textbox inset=",3mm">
                  <w:txbxContent>
                    <w:p w14:paraId="1AC91E3E" w14:textId="77777777" w:rsidR="00985D91" w:rsidRPr="00067D1E" w:rsidRDefault="00985D91" w:rsidP="00067D1E">
                      <w:pPr>
                        <w:pStyle w:val="MOBColofonCopyright"/>
                      </w:pPr>
                      <w:r w:rsidRPr="00067D1E">
                        <w:t>Colofon</w:t>
                      </w:r>
                    </w:p>
                  </w:txbxContent>
                </v:textbox>
                <w10:wrap type="topAndBottom" anchory="page"/>
                <w10:anchorlock/>
              </v:shape>
            </w:pict>
          </mc:Fallback>
        </mc:AlternateContent>
      </w:r>
      <w:r w:rsidRPr="00642F18">
        <w:rPr>
          <w:noProof/>
        </w:rPr>
        <mc:AlternateContent>
          <mc:Choice Requires="wps">
            <w:drawing>
              <wp:anchor distT="0" distB="0" distL="114300" distR="114300" simplePos="0" relativeHeight="251671552" behindDoc="0" locked="1" layoutInCell="1" allowOverlap="1" wp14:anchorId="481AD59A" wp14:editId="48814E09">
                <wp:simplePos x="0" y="0"/>
                <wp:positionH relativeFrom="column">
                  <wp:posOffset>2976880</wp:posOffset>
                </wp:positionH>
                <wp:positionV relativeFrom="page">
                  <wp:posOffset>8010525</wp:posOffset>
                </wp:positionV>
                <wp:extent cx="2983865" cy="1371600"/>
                <wp:effectExtent l="0" t="0" r="13335" b="12700"/>
                <wp:wrapTopAndBottom/>
                <wp:docPr id="11" name="Tekstvak 11"/>
                <wp:cNvGraphicFramePr/>
                <a:graphic xmlns:a="http://schemas.openxmlformats.org/drawingml/2006/main">
                  <a:graphicData uri="http://schemas.microsoft.com/office/word/2010/wordprocessingShape">
                    <wps:wsp>
                      <wps:cNvSpPr txBox="1"/>
                      <wps:spPr>
                        <a:xfrm>
                          <a:off x="0" y="0"/>
                          <a:ext cx="2983865" cy="1371600"/>
                        </a:xfrm>
                        <a:prstGeom prst="rect">
                          <a:avLst/>
                        </a:prstGeom>
                        <a:noFill/>
                        <a:ln w="6350" cap="rnd">
                          <a:solidFill>
                            <a:srgbClr val="13A4C2"/>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F05750C" w14:textId="77777777" w:rsidR="00985D91" w:rsidRDefault="00985D91" w:rsidP="00067D1E">
                            <w:pPr>
                              <w:pStyle w:val="MOBColofonCopyright"/>
                            </w:pPr>
                            <w:r w:rsidRPr="004F42E2">
                              <w:t>Copyright</w:t>
                            </w:r>
                          </w:p>
                          <w:p w14:paraId="2F6817C4" w14:textId="77777777" w:rsidR="00592F1C" w:rsidRPr="00592F1C" w:rsidRDefault="00592F1C" w:rsidP="00592F1C">
                            <w:pPr>
                              <w:pStyle w:val="MOBColofonCopyright"/>
                            </w:pPr>
                            <w:r w:rsidRPr="00592F1C">
                              <w:t xml:space="preserve">Niets uit deze uitgave mag worden verveelvoudigd en/of openbaar gemaakt door middel van druk, fotokopie, microfilm of op welke andere wijze ook, zonder voorafgaande schriftelijke toestemming van de uitgever. </w:t>
                            </w:r>
                          </w:p>
                          <w:p w14:paraId="47647BD7" w14:textId="77777777" w:rsidR="00592F1C" w:rsidRPr="00B468A2" w:rsidRDefault="00592F1C" w:rsidP="00592F1C">
                            <w:pPr>
                              <w:pStyle w:val="MOBColofonCopyright"/>
                              <w:rPr>
                                <w:lang w:val="en-US"/>
                              </w:rPr>
                            </w:pPr>
                            <w:r w:rsidRPr="00B468A2">
                              <w:rPr>
                                <w:lang w:val="en-US"/>
                              </w:rPr>
                              <w:t>No part of this book may be reproduced</w:t>
                            </w:r>
                            <w:r w:rsidRPr="00B468A2">
                              <w:rPr>
                                <w:rFonts w:ascii="Helvetica" w:eastAsiaTheme="minorHAnsi" w:hAnsi="Helvetica" w:cs="Helvetica"/>
                                <w:color w:val="auto"/>
                                <w:sz w:val="24"/>
                                <w:szCs w:val="24"/>
                                <w:lang w:val="en-US" w:eastAsia="en-US"/>
                              </w:rPr>
                              <w:t xml:space="preserve"> </w:t>
                            </w:r>
                            <w:r w:rsidRPr="00B468A2">
                              <w:rPr>
                                <w:lang w:val="en-US"/>
                              </w:rPr>
                              <w:t>in any form, by print, photoprint, microfilm or any other</w:t>
                            </w:r>
                            <w:r w:rsidRPr="00B468A2">
                              <w:rPr>
                                <w:rFonts w:ascii="Helvetica" w:eastAsiaTheme="minorHAnsi" w:hAnsi="Helvetica" w:cs="Helvetica"/>
                                <w:color w:val="auto"/>
                                <w:sz w:val="24"/>
                                <w:szCs w:val="24"/>
                                <w:lang w:val="en-US" w:eastAsia="en-US"/>
                              </w:rPr>
                              <w:t xml:space="preserve"> </w:t>
                            </w:r>
                            <w:r w:rsidRPr="00B468A2">
                              <w:rPr>
                                <w:lang w:val="en-US"/>
                              </w:rPr>
                              <w:t>means without written permission from the publisher.</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AD59A" id="Tekstvak 11" o:spid="_x0000_s1028" type="#_x0000_t202" style="position:absolute;margin-left:234.4pt;margin-top:630.75pt;width:234.95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" filled="f" strokecolor="#13a4c2" strokeweight=".5pt">
                <v:stroke dashstyle="dash" endcap="round"/>
                <v:textbox inset=",3mm">
                  <w:txbxContent>
                    <w:p w14:paraId="1F05750C" w14:textId="77777777" w:rsidR="00985D91" w:rsidRDefault="00985D91" w:rsidP="00067D1E">
                      <w:pPr>
                        <w:pStyle w:val="MOBColofonCopyright"/>
                      </w:pPr>
                      <w:r w:rsidRPr="004F42E2">
                        <w:t>Copyright</w:t>
                      </w:r>
                    </w:p>
                    <w:p w14:paraId="2F6817C4" w14:textId="77777777" w:rsidR="00592F1C" w:rsidRPr="00592F1C" w:rsidRDefault="00592F1C" w:rsidP="00592F1C">
                      <w:pPr>
                        <w:pStyle w:val="MOBColofonCopyright"/>
                      </w:pPr>
                      <w:r w:rsidRPr="00592F1C">
                        <w:t xml:space="preserve">Niets uit deze uitgave mag worden verveelvoudigd en/of openbaar gemaakt door middel van druk, fotokopie, microfilm of op welke andere wijze ook, zonder voorafgaande schriftelijke toestemming van de uitgever. </w:t>
                      </w:r>
                    </w:p>
                    <w:p w14:paraId="47647BD7" w14:textId="77777777" w:rsidR="00592F1C" w:rsidRPr="00B468A2" w:rsidRDefault="00592F1C" w:rsidP="00592F1C">
                      <w:pPr>
                        <w:pStyle w:val="MOBColofonCopyright"/>
                        <w:rPr>
                          <w:lang w:val="en-US"/>
                        </w:rPr>
                      </w:pPr>
                      <w:r w:rsidRPr="00B468A2">
                        <w:rPr>
                          <w:lang w:val="en-US"/>
                        </w:rPr>
                        <w:t>No part of this book may be reproduced</w:t>
                      </w:r>
                      <w:r w:rsidRPr="00B468A2">
                        <w:rPr>
                          <w:rFonts w:ascii="Helvetica" w:eastAsiaTheme="minorHAnsi" w:hAnsi="Helvetica" w:cs="Helvetica"/>
                          <w:color w:val="auto"/>
                          <w:sz w:val="24"/>
                          <w:szCs w:val="24"/>
                          <w:lang w:val="en-US" w:eastAsia="en-US"/>
                        </w:rPr>
                        <w:t xml:space="preserve"> </w:t>
                      </w:r>
                      <w:r w:rsidRPr="00B468A2">
                        <w:rPr>
                          <w:lang w:val="en-US"/>
                        </w:rPr>
                        <w:t>in any form, by print, photoprint, microfilm or any other</w:t>
                      </w:r>
                      <w:r w:rsidRPr="00B468A2">
                        <w:rPr>
                          <w:rFonts w:ascii="Helvetica" w:eastAsiaTheme="minorHAnsi" w:hAnsi="Helvetica" w:cs="Helvetica"/>
                          <w:color w:val="auto"/>
                          <w:sz w:val="24"/>
                          <w:szCs w:val="24"/>
                          <w:lang w:val="en-US" w:eastAsia="en-US"/>
                        </w:rPr>
                        <w:t xml:space="preserve"> </w:t>
                      </w:r>
                      <w:r w:rsidRPr="00B468A2">
                        <w:rPr>
                          <w:lang w:val="en-US"/>
                        </w:rPr>
                        <w:t>means without written permission from the publisher.</w:t>
                      </w:r>
                    </w:p>
                  </w:txbxContent>
                </v:textbox>
                <w10:wrap type="topAndBottom" anchory="page"/>
                <w10:anchorlock/>
              </v:shape>
            </w:pict>
          </mc:Fallback>
        </mc:AlternateContent>
      </w:r>
      <w:r w:rsidR="00B65A74" w:rsidRPr="00642F18">
        <w:br w:type="page"/>
      </w:r>
    </w:p>
    <w:p w14:paraId="50C694D9" w14:textId="29EB01DE" w:rsidR="007B497C" w:rsidRPr="00642F18" w:rsidRDefault="00376230" w:rsidP="00B6284C">
      <w:pPr>
        <w:pStyle w:val="MOBHoofdstuk"/>
      </w:pPr>
      <w:bookmarkStart w:id="0" w:name="_Toc85118611"/>
      <w:r>
        <w:lastRenderedPageBreak/>
        <w:t>Inleiding en verantwoording</w:t>
      </w:r>
      <w:bookmarkEnd w:id="0"/>
    </w:p>
    <w:p w14:paraId="6BFD8237" w14:textId="1BDF4513" w:rsidR="00376230" w:rsidRPr="005311B9" w:rsidRDefault="00376230" w:rsidP="00376230">
      <w:pPr>
        <w:rPr>
          <w:color w:val="FF0000"/>
        </w:rPr>
      </w:pPr>
      <w:r>
        <w:t xml:space="preserve">Deze </w:t>
      </w:r>
      <w:r w:rsidR="00261F55">
        <w:t>CO2</w:t>
      </w:r>
      <w:r w:rsidR="002975A2">
        <w:t xml:space="preserve"> </w:t>
      </w:r>
      <w:r>
        <w:t xml:space="preserve">emissie inventaris </w:t>
      </w:r>
      <w:r w:rsidRPr="000C0647">
        <w:rPr>
          <w:color w:val="auto"/>
        </w:rPr>
        <w:t xml:space="preserve">is </w:t>
      </w:r>
      <w:r w:rsidR="00E61445" w:rsidRPr="000C0647">
        <w:rPr>
          <w:color w:val="auto"/>
        </w:rPr>
        <w:t xml:space="preserve">een </w:t>
      </w:r>
      <w:r w:rsidR="00E61445" w:rsidRPr="005311B9">
        <w:rPr>
          <w:color w:val="auto"/>
        </w:rPr>
        <w:t>actualisatie van de inventarisatie van 202</w:t>
      </w:r>
      <w:r w:rsidR="0087684D">
        <w:rPr>
          <w:color w:val="auto"/>
        </w:rPr>
        <w:t>4 en</w:t>
      </w:r>
      <w:r w:rsidR="009100A4">
        <w:rPr>
          <w:color w:val="auto"/>
        </w:rPr>
        <w:t xml:space="preserve"> de eerste helft van</w:t>
      </w:r>
      <w:r w:rsidR="0087684D">
        <w:rPr>
          <w:color w:val="auto"/>
        </w:rPr>
        <w:t xml:space="preserve"> 2025</w:t>
      </w:r>
      <w:r w:rsidR="009100A4">
        <w:rPr>
          <w:color w:val="auto"/>
        </w:rPr>
        <w:t>.</w:t>
      </w:r>
    </w:p>
    <w:p w14:paraId="75BD909D" w14:textId="7C48D7E6" w:rsidR="00376230" w:rsidRPr="005311B9" w:rsidRDefault="00376230" w:rsidP="00376230">
      <w:pPr>
        <w:pStyle w:val="Normaalweb"/>
        <w:rPr>
          <w:rFonts w:ascii="Calibri" w:hAnsi="Calibri"/>
          <w:color w:val="000000" w:themeColor="text1"/>
          <w:sz w:val="20"/>
          <w:szCs w:val="16"/>
        </w:rPr>
      </w:pPr>
      <w:r w:rsidRPr="005311B9">
        <w:rPr>
          <w:rFonts w:ascii="Calibri" w:hAnsi="Calibri"/>
          <w:color w:val="000000" w:themeColor="text1"/>
          <w:sz w:val="20"/>
          <w:szCs w:val="16"/>
        </w:rPr>
        <w:t xml:space="preserve">Het opstellen van een </w:t>
      </w:r>
      <w:r w:rsidR="00261F55" w:rsidRPr="005311B9">
        <w:rPr>
          <w:rFonts w:ascii="Calibri" w:hAnsi="Calibri"/>
          <w:color w:val="000000" w:themeColor="text1"/>
          <w:sz w:val="20"/>
          <w:szCs w:val="16"/>
        </w:rPr>
        <w:t>CO2</w:t>
      </w:r>
      <w:r w:rsidRPr="005311B9">
        <w:rPr>
          <w:rFonts w:ascii="Calibri" w:hAnsi="Calibri"/>
          <w:color w:val="000000" w:themeColor="text1"/>
          <w:sz w:val="20"/>
          <w:szCs w:val="16"/>
        </w:rPr>
        <w:t xml:space="preserve"> Footprint is belangrijk als het gaat om het terugdringen van de uitstoot van broeikasgassen in een organisatie. Het is allereerst van belang om het nulpunt te meten waarna verbeteringen doorgevoerd kunnen worden en het uiteindelijke resultaat gemeten kan worden</w:t>
      </w:r>
      <w:r w:rsidRPr="005311B9">
        <w:rPr>
          <w:rFonts w:ascii="Calibri" w:hAnsi="Calibri"/>
          <w:color w:val="000000" w:themeColor="text1"/>
          <w:sz w:val="20"/>
          <w:szCs w:val="16"/>
        </w:rPr>
        <w:br/>
        <w:t xml:space="preserve">in aantal kilogram broeikasgasreductie. Hierdoor worden de prestaties van een bedrijf inzichtelijk. </w:t>
      </w:r>
    </w:p>
    <w:p w14:paraId="093C32B1" w14:textId="118F983B" w:rsidR="00376230" w:rsidRPr="005311B9" w:rsidRDefault="00376230" w:rsidP="00376230">
      <w:r w:rsidRPr="005311B9">
        <w:t xml:space="preserve">Mobycon wordt gecertificeerd voor niveau 3 van de </w:t>
      </w:r>
      <w:r w:rsidR="00261F55" w:rsidRPr="005311B9">
        <w:t>CO2</w:t>
      </w:r>
      <w:r w:rsidRPr="005311B9">
        <w:t>-prestatieladder. Dat houdt in dat zij:</w:t>
      </w:r>
    </w:p>
    <w:p w14:paraId="0F79C6FF" w14:textId="77777777" w:rsidR="00376230" w:rsidRPr="005311B9" w:rsidRDefault="00376230" w:rsidP="006C0E57">
      <w:pPr>
        <w:numPr>
          <w:ilvl w:val="0"/>
          <w:numId w:val="8"/>
        </w:numPr>
        <w:spacing w:before="100" w:beforeAutospacing="1" w:after="100" w:afterAutospacing="1" w:line="240" w:lineRule="auto"/>
      </w:pPr>
      <w:r w:rsidRPr="005311B9">
        <w:t xml:space="preserve">inzicht heeft in haar energieverbruik; </w:t>
      </w:r>
    </w:p>
    <w:p w14:paraId="4DD3CBF9" w14:textId="4CCFC4B5" w:rsidR="00376230" w:rsidRPr="005311B9" w:rsidRDefault="00376230" w:rsidP="006C0E57">
      <w:pPr>
        <w:numPr>
          <w:ilvl w:val="0"/>
          <w:numId w:val="8"/>
        </w:numPr>
        <w:spacing w:before="100" w:beforeAutospacing="1" w:after="100" w:afterAutospacing="1" w:line="240" w:lineRule="auto"/>
      </w:pPr>
      <w:r w:rsidRPr="005311B9">
        <w:t xml:space="preserve">beschikt over kwantitatieve </w:t>
      </w:r>
      <w:r w:rsidR="00261F55" w:rsidRPr="005311B9">
        <w:t>CO2</w:t>
      </w:r>
      <w:r w:rsidRPr="005311B9">
        <w:t xml:space="preserve">-reductiedoelstellingen voor haar eigen organisatie; </w:t>
      </w:r>
    </w:p>
    <w:p w14:paraId="5144F728" w14:textId="59BA3336" w:rsidR="00376230" w:rsidRPr="005311B9" w:rsidRDefault="00376230" w:rsidP="006C0E57">
      <w:pPr>
        <w:numPr>
          <w:ilvl w:val="0"/>
          <w:numId w:val="8"/>
        </w:numPr>
        <w:spacing w:before="100" w:beforeAutospacing="1" w:after="100" w:afterAutospacing="1" w:line="240" w:lineRule="auto"/>
      </w:pPr>
      <w:r w:rsidRPr="005311B9">
        <w:t xml:space="preserve">intern en extern communiceert over haar </w:t>
      </w:r>
      <w:r w:rsidR="00261F55" w:rsidRPr="005311B9">
        <w:t>CO2</w:t>
      </w:r>
      <w:r w:rsidRPr="005311B9">
        <w:t xml:space="preserve">-footprint en reductiedoelstelling(-en); </w:t>
      </w:r>
    </w:p>
    <w:p w14:paraId="5DCAA25B" w14:textId="574B8831" w:rsidR="00376230" w:rsidRPr="005311B9" w:rsidRDefault="00376230" w:rsidP="006C0E57">
      <w:pPr>
        <w:numPr>
          <w:ilvl w:val="0"/>
          <w:numId w:val="8"/>
        </w:numPr>
        <w:spacing w:before="100" w:beforeAutospacing="1" w:after="100" w:afterAutospacing="1" w:line="240" w:lineRule="auto"/>
      </w:pPr>
      <w:r w:rsidRPr="005311B9">
        <w:t xml:space="preserve">actief deelneemt aan initiatieven rond de reductie van </w:t>
      </w:r>
      <w:r w:rsidR="00261F55" w:rsidRPr="005311B9">
        <w:t>CO2</w:t>
      </w:r>
      <w:r w:rsidRPr="005311B9">
        <w:t xml:space="preserve"> in de sector of daarbuiten. </w:t>
      </w:r>
    </w:p>
    <w:p w14:paraId="7E6E7D3B" w14:textId="1F1C36C0" w:rsidR="00376230" w:rsidRPr="00376230" w:rsidRDefault="00376230" w:rsidP="00376230">
      <w:r w:rsidRPr="005311B9">
        <w:t>In dit rapport wordt de emissie inventaris over 202</w:t>
      </w:r>
      <w:r w:rsidR="009100A4">
        <w:t>4</w:t>
      </w:r>
      <w:r w:rsidRPr="005311B9">
        <w:t xml:space="preserve"> besproken en richt zich op invalshoek A (inzicht) van de </w:t>
      </w:r>
      <w:r w:rsidR="00261F55" w:rsidRPr="005311B9">
        <w:t>CO2</w:t>
      </w:r>
      <w:r w:rsidRPr="005311B9">
        <w:t xml:space="preserve"> prestatieladder. De </w:t>
      </w:r>
      <w:r w:rsidR="00261F55" w:rsidRPr="005311B9">
        <w:t>CO2</w:t>
      </w:r>
      <w:r w:rsidRPr="005311B9">
        <w:t xml:space="preserve"> footprint geeft een inventarisatie van de totale hoeveelheid uitgestoten broeikasgassen: de GHG emissies. Daarnaast geeft het</w:t>
      </w:r>
      <w:r w:rsidRPr="00376230">
        <w:t xml:space="preserve"> inzicht in de </w:t>
      </w:r>
      <w:r w:rsidRPr="008E7137">
        <w:t>herkomst van deze emissies met een verdeling naar directe en indirecte GHG emissies (respectievelijk scope 1</w:t>
      </w:r>
      <w:r w:rsidR="00554F90">
        <w:t xml:space="preserve">, </w:t>
      </w:r>
      <w:r w:rsidRPr="008E7137">
        <w:t>scope 2</w:t>
      </w:r>
      <w:r w:rsidR="00554F90">
        <w:t xml:space="preserve"> en scope 3</w:t>
      </w:r>
      <w:r w:rsidRPr="008E7137">
        <w:t>).</w:t>
      </w:r>
      <w:r w:rsidR="008E7137" w:rsidRPr="008E7137">
        <w:t xml:space="preserve"> </w:t>
      </w:r>
      <w:r w:rsidRPr="008E7137">
        <w:t>Deze rapportage zal jaarlijks worden geactualiseerd.</w:t>
      </w:r>
      <w:r w:rsidRPr="00376230">
        <w:t xml:space="preserve"> </w:t>
      </w:r>
    </w:p>
    <w:p w14:paraId="6A612215" w14:textId="77777777" w:rsidR="003054C6" w:rsidRPr="008E7137" w:rsidRDefault="003054C6" w:rsidP="00376230"/>
    <w:p w14:paraId="0C23E5CD" w14:textId="3A873A65" w:rsidR="00376230" w:rsidRPr="00376230" w:rsidRDefault="00376230" w:rsidP="00376230">
      <w:r w:rsidRPr="008E7137">
        <w:t xml:space="preserve">Deze rapportage is gebaseerd op de Nederlandse norm voor Broeikasgassen - Deel 1 (NEN-EN-ISO 14064-1:2019). Daarnaast wordt er in sommige gevallen verwezen naar de </w:t>
      </w:r>
      <w:r w:rsidR="00261F55">
        <w:t>CO2</w:t>
      </w:r>
      <w:r w:rsidRPr="008E7137">
        <w:t>- prestatieladder 3.1 en het handboek van de SKAO (22 juni 2020). In dit rapport wordt de footprint gerapporteerd volgens § 7.3.1 van deze norm, in het laatste hoofdstuk is hiertoe een cross reference tabel opgenomen.</w:t>
      </w:r>
    </w:p>
    <w:p w14:paraId="4DA058E4" w14:textId="77777777" w:rsidR="00376230" w:rsidRPr="00376230" w:rsidRDefault="00376230" w:rsidP="00374B88">
      <w:pPr>
        <w:pStyle w:val="MOBHoofdstuk"/>
        <w:ind w:left="431" w:hanging="431"/>
      </w:pPr>
      <w:bookmarkStart w:id="1" w:name="_Toc85118612"/>
      <w:r w:rsidRPr="00376230">
        <w:lastRenderedPageBreak/>
        <w:t>Beschrijving van de organisatie</w:t>
      </w:r>
      <w:bookmarkEnd w:id="1"/>
    </w:p>
    <w:p w14:paraId="126D264A" w14:textId="4B166388" w:rsidR="00376230" w:rsidRPr="00376230" w:rsidRDefault="00376230" w:rsidP="00376230">
      <w:r w:rsidRPr="00376230">
        <w:t xml:space="preserve">Mobycon is </w:t>
      </w:r>
      <w:r w:rsidR="003054C6">
        <w:t xml:space="preserve">een </w:t>
      </w:r>
      <w:r w:rsidRPr="00376230">
        <w:t>onafhankelijk adviesbureau met een brede en niet zelden verrassende visie op</w:t>
      </w:r>
    </w:p>
    <w:p w14:paraId="61B683D0" w14:textId="6CEE7606" w:rsidR="00376230" w:rsidRPr="00376230" w:rsidRDefault="00376230" w:rsidP="00376230">
      <w:r w:rsidRPr="00376230">
        <w:t>mobiliteitsvraagstukken. Mobycon werkt lokaal, regionaal, nationaal en internationaal en stelt zich altijd ten doel om samen met de opdrachtgevers te werken aan een zo effectief, veilig en economisch mogelijke mobiliteit. Een integrale benadering, flexibel meebewegend met de voortschrijdende inzichten, maakt oplossingen mogelijk waarmee de maatschappij vooruit kan en waarvan ze beter kan worden. Mobycon is een consultancy bureau. Mobycon is een onafhankelijk adviesbureau op het gebied van Mobiliteit, Verkeer en Vervoer, waarvan de werkzaamheden en het werkveld als volgt omschreven wordt:</w:t>
      </w:r>
      <w:r>
        <w:br/>
      </w:r>
      <w:r w:rsidRPr="00376230">
        <w:rPr>
          <w:b/>
        </w:rPr>
        <w:t>Advisering op het gebied van verkeer, vervoer en mobiliteit.</w:t>
      </w:r>
    </w:p>
    <w:p w14:paraId="5F69D573" w14:textId="77777777" w:rsidR="00376230" w:rsidRDefault="00376230" w:rsidP="00376230">
      <w:pPr>
        <w:pStyle w:val="MOBParagraaf"/>
      </w:pPr>
      <w:bookmarkStart w:id="2" w:name="_Toc85118613"/>
      <w:r>
        <w:t>Ons hogere doel</w:t>
      </w:r>
      <w:bookmarkEnd w:id="2"/>
    </w:p>
    <w:p w14:paraId="7A2E8201" w14:textId="77777777" w:rsidR="00376230" w:rsidRPr="00404A97" w:rsidRDefault="00376230" w:rsidP="00376230">
      <w:r w:rsidRPr="00404A97">
        <w:t xml:space="preserve">Wij maken de wereld minder afhankelijk van de auto. Wij gaan voor mobiliteit zonder zorgen, want mobiliteit draagt bij aan een goede kwaliteit van leven. Nu en in onze duurzame toekomst. </w:t>
      </w:r>
      <w:r w:rsidRPr="00404A97">
        <w:br/>
        <w:t xml:space="preserve">Iedereen, jong of oud, heeft het recht op een veilige leefomgeving. En het recht om deel te nemen aan de maatschappij zonder (te) afhankelijk te zijn van anderen. In 2030 leven we in een wereld waar iedereen zich duurzaam, veilig en gezond kan bewegen. Daarom geven wij voorrang aan lopen, fietsen, het openbaar vervoer én deelmobiliteit, daarna volgt pas de auto. MOBYCON </w:t>
      </w:r>
      <w:r>
        <w:t>d</w:t>
      </w:r>
      <w:r w:rsidRPr="00404A97">
        <w:t xml:space="preserve">aagt je uit om verder te denken over mobiliteit! VINDINGRIJK | SENSITIEF | MENSGERICHT </w:t>
      </w:r>
    </w:p>
    <w:p w14:paraId="708CD3FA" w14:textId="16AEF9A8" w:rsidR="00376230" w:rsidRDefault="00376230" w:rsidP="00376230">
      <w:pPr>
        <w:ind w:right="-141"/>
        <w:rPr>
          <w:rFonts w:ascii="Lucida Sans Unicode" w:hAnsi="Lucida Sans Unicode" w:cs="Lucida Sans Unicode"/>
        </w:rPr>
      </w:pPr>
    </w:p>
    <w:p w14:paraId="51AC5F06" w14:textId="3AA14DC9" w:rsidR="00376230" w:rsidRPr="00376230" w:rsidRDefault="00376230" w:rsidP="00374B88">
      <w:pPr>
        <w:pStyle w:val="MOBHoofdstuk"/>
        <w:ind w:left="431" w:hanging="431"/>
      </w:pPr>
      <w:bookmarkStart w:id="3" w:name="_Toc85118614"/>
      <w:r w:rsidRPr="00376230">
        <w:lastRenderedPageBreak/>
        <w:t>Organisatiestructuur</w:t>
      </w:r>
      <w:bookmarkEnd w:id="3"/>
      <w:r w:rsidRPr="00376230">
        <w:t xml:space="preserve"> </w:t>
      </w:r>
    </w:p>
    <w:p w14:paraId="37B1C1A1" w14:textId="77777777" w:rsidR="00376230" w:rsidRPr="008E7137" w:rsidRDefault="00376230" w:rsidP="00CB6440">
      <w:r w:rsidRPr="008E7137">
        <w:t>Mobycon heeft een platte organisatiestructuur. De managementtaken ligt bij de directie bestaande uit één persoon. De operationele aansturing vindt plaats door de resourcemanagers Advies en Onderzoek en de commercieel directeur. De verschillende adviseurs vallen onder een team. De junior adviseurs zijn flexibel inzetbaar. De functieprofielen van de adviseurs kunnen worden weggezet in een piramide. Hoe hoger je in de piramide komt (van adviseur A naar adviseur D) hoe meer verantwoordelijkheden je als adviseur hebt. De functies en rollen van de medewerkers staan beschreven in het functiehandboek van Mobycon.</w:t>
      </w:r>
    </w:p>
    <w:p w14:paraId="395E1AB3" w14:textId="77777777" w:rsidR="00376230" w:rsidRPr="008E7137" w:rsidRDefault="00376230" w:rsidP="00CB6440"/>
    <w:p w14:paraId="6A331D5E" w14:textId="70D8139F" w:rsidR="00376230" w:rsidRPr="008E7137" w:rsidRDefault="00376230" w:rsidP="00CB6440">
      <w:r w:rsidRPr="008E7137">
        <w:t xml:space="preserve">Mobycon valt onder de Concordis Groep, net als </w:t>
      </w:r>
      <w:r w:rsidR="00554F90">
        <w:t>Mobypeople</w:t>
      </w:r>
      <w:r w:rsidR="00554F90" w:rsidRPr="008E7137">
        <w:t xml:space="preserve"> </w:t>
      </w:r>
      <w:r w:rsidRPr="008E7137">
        <w:t>en Forseti. Mobycon maakt gebruik van de drie vestigingen</w:t>
      </w:r>
      <w:r w:rsidR="00554F90">
        <w:t xml:space="preserve"> (Delft, Zwolle en ’s-Hertogenbosch)</w:t>
      </w:r>
      <w:r w:rsidRPr="008E7137">
        <w:t xml:space="preserve">. </w:t>
      </w:r>
    </w:p>
    <w:p w14:paraId="45FA7EE8" w14:textId="77777777" w:rsidR="00376230" w:rsidRPr="008E7137" w:rsidRDefault="00376230" w:rsidP="00376230"/>
    <w:p w14:paraId="35E3695E" w14:textId="77777777" w:rsidR="00376230" w:rsidRPr="008E7137" w:rsidRDefault="00376230" w:rsidP="00376230">
      <w:r w:rsidRPr="008E7137">
        <w:t xml:space="preserve">Er wordt onderling gecommuniceerd binnen de organisatie. De medewerkers zoeken zelf contact met andere collega’s, dit gaat niet via een leidinggevende. Mobycon valt onder een organische organisatie, de nadruk ligt op samenwerken. Ook zijn flexibiliteit en innovatief vermogen belangrijke kenmerken voor Mobycon. </w:t>
      </w:r>
    </w:p>
    <w:p w14:paraId="679F48C8" w14:textId="77777777" w:rsidR="00376230" w:rsidRPr="0051424F" w:rsidRDefault="00376230" w:rsidP="00376230"/>
    <w:p w14:paraId="08336524" w14:textId="77777777" w:rsidR="00376230" w:rsidRDefault="00376230" w:rsidP="00376230">
      <w:pPr>
        <w:rPr>
          <w:noProof/>
        </w:rPr>
      </w:pPr>
    </w:p>
    <w:p w14:paraId="6B49CE5A" w14:textId="77777777" w:rsidR="00FB0C98" w:rsidRDefault="00FB0C98" w:rsidP="00376230">
      <w:pPr>
        <w:rPr>
          <w:i/>
          <w:noProof/>
          <w:sz w:val="18"/>
        </w:rPr>
      </w:pPr>
    </w:p>
    <w:p w14:paraId="13ABB024" w14:textId="47ED079C" w:rsidR="00FB0C98" w:rsidRPr="0051424F" w:rsidRDefault="00FB0C98" w:rsidP="00376230">
      <w:pPr>
        <w:rPr>
          <w:i/>
          <w:sz w:val="18"/>
        </w:rPr>
      </w:pPr>
      <w:r>
        <w:rPr>
          <w:i/>
          <w:noProof/>
          <w:sz w:val="18"/>
        </w:rPr>
        <w:drawing>
          <wp:inline distT="0" distB="0" distL="0" distR="0" wp14:anchorId="200635BE" wp14:editId="1D413B3D">
            <wp:extent cx="4594575" cy="3634740"/>
            <wp:effectExtent l="0" t="0" r="0" b="3810"/>
            <wp:docPr id="14302487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138" b="37045"/>
                    <a:stretch/>
                  </pic:blipFill>
                  <pic:spPr bwMode="auto">
                    <a:xfrm>
                      <a:off x="0" y="0"/>
                      <a:ext cx="4602903" cy="3641328"/>
                    </a:xfrm>
                    <a:prstGeom prst="rect">
                      <a:avLst/>
                    </a:prstGeom>
                    <a:noFill/>
                    <a:ln>
                      <a:noFill/>
                    </a:ln>
                    <a:extLst>
                      <a:ext uri="{53640926-AAD7-44D8-BBD7-CCE9431645EC}">
                        <a14:shadowObscured xmlns:a14="http://schemas.microsoft.com/office/drawing/2010/main"/>
                      </a:ext>
                    </a:extLst>
                  </pic:spPr>
                </pic:pic>
              </a:graphicData>
            </a:graphic>
          </wp:inline>
        </w:drawing>
      </w:r>
    </w:p>
    <w:p w14:paraId="36BBD40C" w14:textId="77777777" w:rsidR="00376230" w:rsidRPr="0051424F" w:rsidRDefault="00376230" w:rsidP="00376230">
      <w:pPr>
        <w:rPr>
          <w:i/>
          <w:sz w:val="18"/>
        </w:rPr>
      </w:pPr>
    </w:p>
    <w:p w14:paraId="5EC2A325" w14:textId="6A514AEE" w:rsidR="00376230" w:rsidRPr="0051424F" w:rsidRDefault="00376230" w:rsidP="00376230">
      <w:pPr>
        <w:rPr>
          <w:i/>
          <w:sz w:val="18"/>
        </w:rPr>
      </w:pPr>
      <w:r w:rsidRPr="0051424F">
        <w:rPr>
          <w:i/>
          <w:sz w:val="18"/>
        </w:rPr>
        <w:t xml:space="preserve">Figuur </w:t>
      </w:r>
      <w:r>
        <w:rPr>
          <w:i/>
          <w:sz w:val="18"/>
        </w:rPr>
        <w:t>1</w:t>
      </w:r>
      <w:r w:rsidRPr="0051424F">
        <w:rPr>
          <w:i/>
          <w:sz w:val="18"/>
        </w:rPr>
        <w:t>: organogram Mobycon</w:t>
      </w:r>
    </w:p>
    <w:p w14:paraId="403C793A" w14:textId="2EAA6E47" w:rsidR="00376230" w:rsidRDefault="00376230" w:rsidP="00374B88">
      <w:pPr>
        <w:rPr>
          <w:rFonts w:ascii="Lucida Sans Unicode" w:hAnsi="Lucida Sans Unicode" w:cs="Lucida Sans Unicode"/>
          <w:bCs/>
        </w:rPr>
      </w:pPr>
    </w:p>
    <w:p w14:paraId="2138963D" w14:textId="77777777" w:rsidR="008E7137" w:rsidRDefault="008E7137">
      <w:pPr>
        <w:spacing w:line="240" w:lineRule="auto"/>
        <w:rPr>
          <w:rFonts w:asciiTheme="minorHAnsi" w:hAnsiTheme="minorHAnsi" w:cstheme="minorHAnsi"/>
          <w:bCs/>
          <w:sz w:val="22"/>
          <w:szCs w:val="22"/>
        </w:rPr>
      </w:pPr>
      <w:r>
        <w:rPr>
          <w:rFonts w:asciiTheme="minorHAnsi" w:hAnsiTheme="minorHAnsi" w:cstheme="minorHAnsi"/>
          <w:bCs/>
          <w:sz w:val="22"/>
          <w:szCs w:val="22"/>
        </w:rPr>
        <w:br w:type="page"/>
      </w:r>
    </w:p>
    <w:p w14:paraId="7752BB29" w14:textId="5442252A" w:rsidR="007D348D" w:rsidRPr="008E7137" w:rsidRDefault="007D348D" w:rsidP="00376230">
      <w:pPr>
        <w:rPr>
          <w:rFonts w:eastAsia="Calibri"/>
          <w:lang w:eastAsia="en-US"/>
        </w:rPr>
      </w:pPr>
      <w:r w:rsidRPr="008E7137">
        <w:rPr>
          <w:rFonts w:eastAsia="Calibri"/>
          <w:lang w:eastAsia="en-US"/>
        </w:rPr>
        <w:lastRenderedPageBreak/>
        <w:t>Bij Mobycon helpen we organisaties met al hun mobiliteitsvraagstukken. Meedenken over de ruimtelijke inrichting van de binnenstad, onderzoek verrichten naar de parkeerdruk of adviseren over herinrichtingsplannen. Het kan allemaal</w:t>
      </w:r>
      <w:r w:rsidR="002975A2" w:rsidRPr="008E7137">
        <w:rPr>
          <w:rFonts w:eastAsia="Calibri"/>
          <w:lang w:eastAsia="en-US"/>
        </w:rPr>
        <w:t>!</w:t>
      </w:r>
      <w:r w:rsidRPr="008E7137">
        <w:rPr>
          <w:rFonts w:eastAsia="Calibri"/>
          <w:lang w:eastAsia="en-US"/>
        </w:rPr>
        <w:t xml:space="preserve"> In ruim 30 jaar heeft Mobycon duizenden projecten uitgevoerd in binnen- en buite</w:t>
      </w:r>
      <w:r w:rsidR="003F3890">
        <w:rPr>
          <w:rFonts w:eastAsia="Calibri"/>
          <w:lang w:eastAsia="en-US"/>
        </w:rPr>
        <w:t>n</w:t>
      </w:r>
      <w:r w:rsidRPr="008E7137">
        <w:rPr>
          <w:rFonts w:eastAsia="Calibri"/>
          <w:lang w:eastAsia="en-US"/>
        </w:rPr>
        <w:t>land. Gebieden zijn hierdoor aantrekkelijker, bereikbaarder en leefbaarder geworden.</w:t>
      </w:r>
    </w:p>
    <w:p w14:paraId="417DBAE4" w14:textId="3E8A16D3" w:rsidR="007D348D" w:rsidRPr="008E7137" w:rsidRDefault="007D348D" w:rsidP="00376230">
      <w:pPr>
        <w:rPr>
          <w:rFonts w:eastAsia="Calibri"/>
          <w:lang w:eastAsia="en-US"/>
        </w:rPr>
      </w:pPr>
    </w:p>
    <w:p w14:paraId="1B80E1A0" w14:textId="77777777" w:rsidR="007D348D" w:rsidRPr="008E7137" w:rsidRDefault="007D348D" w:rsidP="007D348D">
      <w:pPr>
        <w:rPr>
          <w:rFonts w:eastAsia="Calibri"/>
          <w:lang w:eastAsia="en-US"/>
        </w:rPr>
      </w:pPr>
      <w:r w:rsidRPr="008E7137">
        <w:rPr>
          <w:rFonts w:eastAsia="Calibri"/>
          <w:lang w:eastAsia="en-US"/>
        </w:rPr>
        <w:t>Mobycon werkt voor provincies, gemeenten, vervoersregio’s, Rijkswaterstaat, verkeersveiligheidsorganisaties, ministeries, de Europese Commissie, particuliere bedrijven, winkeliersverenigingen, Kamers van Koophandel, gehandicaptenorganisaties, onderwijsinstellingen en andere adviesbureaus. Deze brede scope stelt ons in staat om kennis te delen en te gebruiken op lokaal, regionaal, nationaal en internationaal niveau.</w:t>
      </w:r>
    </w:p>
    <w:p w14:paraId="529A6EB3" w14:textId="77777777" w:rsidR="007D348D" w:rsidRPr="008E7137" w:rsidRDefault="007D348D" w:rsidP="00376230">
      <w:pPr>
        <w:rPr>
          <w:rFonts w:eastAsia="Calibri"/>
          <w:lang w:eastAsia="en-US"/>
        </w:rPr>
      </w:pPr>
    </w:p>
    <w:p w14:paraId="1ABC7CFF" w14:textId="292CB4FE" w:rsidR="00376230" w:rsidRPr="008E7137" w:rsidRDefault="00376230" w:rsidP="00376230">
      <w:pPr>
        <w:rPr>
          <w:rFonts w:eastAsia="Calibri"/>
          <w:lang w:eastAsia="en-US"/>
        </w:rPr>
      </w:pPr>
      <w:r w:rsidRPr="008E7137">
        <w:rPr>
          <w:rFonts w:eastAsia="Calibri"/>
          <w:lang w:eastAsia="en-US"/>
        </w:rPr>
        <w:t xml:space="preserve">Het </w:t>
      </w:r>
      <w:r w:rsidR="007D348D" w:rsidRPr="008E7137">
        <w:rPr>
          <w:rFonts w:eastAsia="Calibri"/>
          <w:lang w:eastAsia="en-US"/>
        </w:rPr>
        <w:t>hoofd</w:t>
      </w:r>
      <w:r w:rsidRPr="008E7137">
        <w:rPr>
          <w:rFonts w:eastAsia="Calibri"/>
          <w:lang w:eastAsia="en-US"/>
        </w:rPr>
        <w:t xml:space="preserve">kantoor is gevestigd in Delft en vandaaruit worden alle activiteiten aangestuurd. De activiteiten vinden uitsluitend plaats in Mobycon B.V. (KvK </w:t>
      </w:r>
      <w:r w:rsidR="007D348D" w:rsidRPr="008E7137">
        <w:rPr>
          <w:rFonts w:eastAsia="Calibri"/>
          <w:lang w:eastAsia="en-US"/>
        </w:rPr>
        <w:t>27195561</w:t>
      </w:r>
      <w:r w:rsidRPr="008E7137">
        <w:rPr>
          <w:rFonts w:eastAsia="Calibri"/>
          <w:lang w:eastAsia="en-US"/>
        </w:rPr>
        <w:t xml:space="preserve">) en er zijn geen activiteiten </w:t>
      </w:r>
      <w:r w:rsidR="007D348D" w:rsidRPr="008E7137">
        <w:rPr>
          <w:rFonts w:eastAsia="Calibri"/>
          <w:lang w:eastAsia="en-US"/>
        </w:rPr>
        <w:t>c.q.</w:t>
      </w:r>
      <w:r w:rsidRPr="008E7137">
        <w:rPr>
          <w:rFonts w:eastAsia="Calibri"/>
          <w:lang w:eastAsia="en-US"/>
        </w:rPr>
        <w:t xml:space="preserve"> directe bindingen tussen de genoemde werkmaatschappijen. De certificering is dus alleen van toepassing op Mobycon B.V.</w:t>
      </w:r>
    </w:p>
    <w:p w14:paraId="4C141189" w14:textId="77777777" w:rsidR="00376230" w:rsidRPr="00376230" w:rsidRDefault="00376230" w:rsidP="00374B88">
      <w:pPr>
        <w:pStyle w:val="MOBHoofdstuk"/>
        <w:ind w:left="431" w:hanging="431"/>
      </w:pPr>
      <w:bookmarkStart w:id="4" w:name="_Toc85118615"/>
      <w:r w:rsidRPr="00376230">
        <w:lastRenderedPageBreak/>
        <w:t>Verantwoordelijke</w:t>
      </w:r>
      <w:bookmarkEnd w:id="4"/>
    </w:p>
    <w:p w14:paraId="38F198E0" w14:textId="2C75C049" w:rsidR="00376230" w:rsidRPr="005C3E13" w:rsidRDefault="00376230" w:rsidP="00376230">
      <w:pPr>
        <w:rPr>
          <w:rFonts w:eastAsia="Calibri"/>
          <w:lang w:eastAsia="en-US"/>
        </w:rPr>
      </w:pPr>
      <w:r w:rsidRPr="008E7137">
        <w:rPr>
          <w:rFonts w:eastAsia="Calibri"/>
          <w:lang w:eastAsia="en-US"/>
        </w:rPr>
        <w:t xml:space="preserve">De </w:t>
      </w:r>
      <w:r w:rsidR="002975A2" w:rsidRPr="008E7137">
        <w:rPr>
          <w:rFonts w:eastAsia="Calibri"/>
          <w:lang w:eastAsia="en-US"/>
        </w:rPr>
        <w:t xml:space="preserve">verantwoordelijke </w:t>
      </w:r>
      <w:r w:rsidRPr="008E7137">
        <w:rPr>
          <w:rFonts w:eastAsia="Calibri"/>
          <w:lang w:eastAsia="en-US"/>
        </w:rPr>
        <w:t xml:space="preserve">voor de stuurcyclus </w:t>
      </w:r>
      <w:r w:rsidR="00261F55">
        <w:rPr>
          <w:rFonts w:eastAsia="Calibri"/>
          <w:lang w:eastAsia="en-US"/>
        </w:rPr>
        <w:t>CO2</w:t>
      </w:r>
      <w:r w:rsidRPr="008E7137">
        <w:rPr>
          <w:rFonts w:eastAsia="Calibri"/>
          <w:lang w:eastAsia="en-US"/>
        </w:rPr>
        <w:t xml:space="preserve"> reductie alsmede alle activiteiten die hier aan gekoppeld zijn, </w:t>
      </w:r>
      <w:r w:rsidRPr="005C3E13">
        <w:rPr>
          <w:rFonts w:eastAsia="Calibri"/>
          <w:lang w:eastAsia="en-US"/>
        </w:rPr>
        <w:t>zoals het behalen van de doelstellingen, is de directie.</w:t>
      </w:r>
    </w:p>
    <w:p w14:paraId="278296A1" w14:textId="5CC891E3" w:rsidR="00376230" w:rsidRPr="008E7137" w:rsidRDefault="00376230" w:rsidP="00376230">
      <w:pPr>
        <w:rPr>
          <w:rFonts w:eastAsia="Calibri"/>
          <w:lang w:eastAsia="en-US"/>
        </w:rPr>
      </w:pPr>
      <w:r w:rsidRPr="005C3E13">
        <w:rPr>
          <w:rFonts w:eastAsia="Calibri"/>
          <w:lang w:eastAsia="en-US"/>
        </w:rPr>
        <w:t xml:space="preserve">Namens de directie is </w:t>
      </w:r>
      <w:r w:rsidR="00B00AFF">
        <w:rPr>
          <w:rFonts w:eastAsia="Calibri"/>
          <w:lang w:eastAsia="en-US"/>
        </w:rPr>
        <w:t xml:space="preserve">Julian van de Lagemaat </w:t>
      </w:r>
      <w:r w:rsidRPr="005C3E13">
        <w:rPr>
          <w:rFonts w:eastAsia="Calibri"/>
          <w:lang w:eastAsia="en-US"/>
        </w:rPr>
        <w:t xml:space="preserve">als </w:t>
      </w:r>
      <w:r w:rsidR="005C3E13">
        <w:rPr>
          <w:rFonts w:eastAsia="Calibri"/>
          <w:lang w:eastAsia="en-US"/>
        </w:rPr>
        <w:t>(</w:t>
      </w:r>
      <w:r w:rsidR="00B00AFF">
        <w:rPr>
          <w:rFonts w:eastAsia="Calibri"/>
          <w:lang w:eastAsia="en-US"/>
        </w:rPr>
        <w:t>e</w:t>
      </w:r>
      <w:r w:rsidR="005C3E13">
        <w:rPr>
          <w:rFonts w:eastAsia="Calibri"/>
          <w:lang w:eastAsia="en-US"/>
        </w:rPr>
        <w:t xml:space="preserve">xterne) </w:t>
      </w:r>
      <w:r w:rsidR="00261F55" w:rsidRPr="005C3E13">
        <w:rPr>
          <w:rFonts w:eastAsia="Calibri"/>
          <w:lang w:eastAsia="en-US"/>
        </w:rPr>
        <w:t>CO2</w:t>
      </w:r>
      <w:r w:rsidRPr="005C3E13">
        <w:rPr>
          <w:rFonts w:eastAsia="Calibri"/>
          <w:lang w:eastAsia="en-US"/>
        </w:rPr>
        <w:t>-functionaris aangesteld.</w:t>
      </w:r>
    </w:p>
    <w:p w14:paraId="48B9D06D" w14:textId="77777777" w:rsidR="00376230" w:rsidRPr="00376230" w:rsidRDefault="00376230" w:rsidP="00376230">
      <w:pPr>
        <w:pStyle w:val="MOBParagraaf"/>
        <w:ind w:left="578" w:hanging="578"/>
      </w:pPr>
      <w:bookmarkStart w:id="5" w:name="_Toc85118616"/>
      <w:r w:rsidRPr="00376230">
        <w:t>Basisjaar en rapportage</w:t>
      </w:r>
      <w:bookmarkEnd w:id="5"/>
    </w:p>
    <w:p w14:paraId="00AD09AD" w14:textId="22D6EC9B" w:rsidR="002975A2" w:rsidRPr="008E7137" w:rsidRDefault="002975A2" w:rsidP="008E7137">
      <w:pPr>
        <w:rPr>
          <w:rFonts w:eastAsia="Calibri"/>
          <w:lang w:eastAsia="en-US"/>
        </w:rPr>
      </w:pPr>
      <w:r w:rsidRPr="008E7137">
        <w:rPr>
          <w:rFonts w:eastAsia="Calibri"/>
          <w:lang w:eastAsia="en-US"/>
        </w:rPr>
        <w:t xml:space="preserve">Uitgangspunt was in eerste instantie dat 2020 als basisjaar zou gaan gelden. Vanwege de gehele situatie rondom </w:t>
      </w:r>
      <w:r w:rsidR="003054C6">
        <w:rPr>
          <w:rFonts w:eastAsia="Calibri"/>
          <w:lang w:eastAsia="en-US"/>
        </w:rPr>
        <w:t>COVID-19</w:t>
      </w:r>
      <w:r w:rsidRPr="008E7137">
        <w:rPr>
          <w:rFonts w:eastAsia="Calibri"/>
          <w:lang w:eastAsia="en-US"/>
        </w:rPr>
        <w:t xml:space="preserve">, geeft dat jaar echter een zeer vertekend beeld van de uitstoot van </w:t>
      </w:r>
      <w:r w:rsidR="00261F55">
        <w:rPr>
          <w:rFonts w:eastAsia="Calibri"/>
          <w:lang w:eastAsia="en-US"/>
        </w:rPr>
        <w:t>CO2</w:t>
      </w:r>
      <w:r w:rsidRPr="008E7137">
        <w:rPr>
          <w:rFonts w:eastAsia="Calibri"/>
          <w:lang w:eastAsia="en-US"/>
        </w:rPr>
        <w:t xml:space="preserve"> door Mobycon.</w:t>
      </w:r>
    </w:p>
    <w:p w14:paraId="4BB3DB91" w14:textId="6827ACC4" w:rsidR="002975A2" w:rsidRPr="008E7137" w:rsidRDefault="002975A2" w:rsidP="007D348D">
      <w:pPr>
        <w:rPr>
          <w:rFonts w:eastAsia="Calibri"/>
          <w:lang w:eastAsia="en-US"/>
        </w:rPr>
      </w:pPr>
      <w:r w:rsidRPr="008E7137">
        <w:rPr>
          <w:rFonts w:eastAsia="Calibri"/>
          <w:lang w:eastAsia="en-US"/>
        </w:rPr>
        <w:t xml:space="preserve">Omdat ook 2021 een vertekend beeld </w:t>
      </w:r>
      <w:r w:rsidR="00554F90">
        <w:rPr>
          <w:rFonts w:eastAsia="Calibri"/>
          <w:lang w:eastAsia="en-US"/>
        </w:rPr>
        <w:t xml:space="preserve">opleverde </w:t>
      </w:r>
      <w:r w:rsidRPr="008E7137">
        <w:rPr>
          <w:rFonts w:eastAsia="Calibri"/>
          <w:lang w:eastAsia="en-US"/>
        </w:rPr>
        <w:t>vanwege hetzelfde virus, is ervoor gekozen om 2019 als basisjaar te laten gelden.</w:t>
      </w:r>
    </w:p>
    <w:p w14:paraId="446F8AA4" w14:textId="77777777" w:rsidR="00376230" w:rsidRPr="00376230" w:rsidRDefault="00376230" w:rsidP="00376230">
      <w:pPr>
        <w:pStyle w:val="MOBParagraaf"/>
        <w:ind w:left="578" w:hanging="578"/>
      </w:pPr>
      <w:bookmarkStart w:id="6" w:name="_Toc85118617"/>
      <w:r w:rsidRPr="00376230">
        <w:t>Afbakening</w:t>
      </w:r>
      <w:bookmarkEnd w:id="6"/>
    </w:p>
    <w:p w14:paraId="06268EAC" w14:textId="77777777" w:rsidR="00376230" w:rsidRPr="008E7137" w:rsidRDefault="00376230" w:rsidP="00376230">
      <w:pPr>
        <w:rPr>
          <w:rFonts w:eastAsia="Calibri"/>
          <w:lang w:eastAsia="en-US"/>
        </w:rPr>
      </w:pPr>
      <w:r w:rsidRPr="008E7137">
        <w:rPr>
          <w:rFonts w:eastAsia="Calibri"/>
          <w:lang w:eastAsia="en-US"/>
        </w:rPr>
        <w:t xml:space="preserve">In hoofdstuk 3 van het GHG protocol worden twee methodes beschreven waarop de “organizational boundary” kan worden bepaald, de aandelen methode (equity share approach) en de aansturingmethode (control approach). </w:t>
      </w:r>
    </w:p>
    <w:p w14:paraId="103C0ED7" w14:textId="77777777" w:rsidR="00376230" w:rsidRPr="008E7137" w:rsidRDefault="00376230" w:rsidP="00376230">
      <w:pPr>
        <w:rPr>
          <w:rFonts w:eastAsia="Calibri"/>
          <w:lang w:eastAsia="en-US"/>
        </w:rPr>
      </w:pPr>
    </w:p>
    <w:p w14:paraId="6B1203FA" w14:textId="7BF01435" w:rsidR="00376230" w:rsidRPr="008E7137" w:rsidRDefault="00376230" w:rsidP="00376230">
      <w:pPr>
        <w:rPr>
          <w:rFonts w:eastAsia="Calibri"/>
          <w:lang w:eastAsia="en-US"/>
        </w:rPr>
      </w:pPr>
      <w:r w:rsidRPr="008E7137">
        <w:rPr>
          <w:rFonts w:eastAsia="Calibri"/>
          <w:lang w:eastAsia="en-US"/>
        </w:rPr>
        <w:t xml:space="preserve">De organisatorische grens is bepaald d.m.v. methode 1 van het SKAO handboek </w:t>
      </w:r>
      <w:r w:rsidR="00261F55">
        <w:rPr>
          <w:rFonts w:eastAsia="Calibri"/>
          <w:lang w:eastAsia="en-US"/>
        </w:rPr>
        <w:t>CO2</w:t>
      </w:r>
      <w:r w:rsidRPr="008E7137">
        <w:rPr>
          <w:rFonts w:eastAsia="Calibri"/>
          <w:lang w:eastAsia="en-US"/>
        </w:rPr>
        <w:t>-prestatieladder 3.</w:t>
      </w:r>
      <w:r w:rsidR="005D2B01">
        <w:rPr>
          <w:rFonts w:eastAsia="Calibri"/>
          <w:lang w:eastAsia="en-US"/>
        </w:rPr>
        <w:t>1</w:t>
      </w:r>
      <w:r w:rsidRPr="008E7137">
        <w:rPr>
          <w:rFonts w:eastAsia="Calibri"/>
          <w:lang w:eastAsia="en-US"/>
        </w:rPr>
        <w:t xml:space="preserve"> en is dus bepaald aan de hand met de ‘equity share’ benadering zoals beschreven in het GHG-protocol. Onderstaand wordt de juridische entiteit genoemd die als boundary geldt voor het berekenen van de </w:t>
      </w:r>
      <w:r w:rsidR="00261F55">
        <w:rPr>
          <w:rFonts w:eastAsia="Calibri"/>
          <w:lang w:eastAsia="en-US"/>
        </w:rPr>
        <w:t>CO2</w:t>
      </w:r>
      <w:r w:rsidRPr="008E7137">
        <w:rPr>
          <w:rFonts w:eastAsia="Calibri"/>
          <w:lang w:eastAsia="en-US"/>
        </w:rPr>
        <w:t xml:space="preserve">-footprint, de bijbehorende </w:t>
      </w:r>
      <w:r w:rsidR="00261F55">
        <w:rPr>
          <w:rFonts w:eastAsia="Calibri"/>
          <w:lang w:eastAsia="en-US"/>
        </w:rPr>
        <w:t>CO2</w:t>
      </w:r>
      <w:r w:rsidRPr="008E7137">
        <w:rPr>
          <w:rFonts w:eastAsia="Calibri"/>
          <w:lang w:eastAsia="en-US"/>
        </w:rPr>
        <w:t xml:space="preserve">-reductiedoelstellingen en ook als naam zal worden gebruikt op het </w:t>
      </w:r>
      <w:r w:rsidR="00261F55">
        <w:rPr>
          <w:rFonts w:eastAsia="Calibri"/>
          <w:lang w:eastAsia="en-US"/>
        </w:rPr>
        <w:t>CO2</w:t>
      </w:r>
      <w:r w:rsidRPr="008E7137">
        <w:rPr>
          <w:rFonts w:eastAsia="Calibri"/>
          <w:lang w:eastAsia="en-US"/>
        </w:rPr>
        <w:t>-bewust certificaat.</w:t>
      </w:r>
    </w:p>
    <w:p w14:paraId="2D2F7EAA" w14:textId="0B422597" w:rsidR="00376230" w:rsidRPr="008E7137" w:rsidRDefault="00376230" w:rsidP="00376230">
      <w:pPr>
        <w:rPr>
          <w:rFonts w:eastAsia="Calibri"/>
          <w:lang w:eastAsia="en-US"/>
        </w:rPr>
      </w:pPr>
      <w:r w:rsidRPr="008E7137">
        <w:rPr>
          <w:rFonts w:eastAsia="Calibri"/>
          <w:lang w:eastAsia="en-US"/>
        </w:rPr>
        <w:t xml:space="preserve">Naar aanleiding van een aparte beoordeling van de organizational boundary wordt als organisatorische grens daarom </w:t>
      </w:r>
      <w:r w:rsidR="002975A2" w:rsidRPr="008E7137">
        <w:rPr>
          <w:rFonts w:eastAsia="Calibri"/>
          <w:lang w:eastAsia="en-US"/>
        </w:rPr>
        <w:t xml:space="preserve">Mobycon BV </w:t>
      </w:r>
      <w:r w:rsidR="008E7137" w:rsidRPr="008E7137">
        <w:rPr>
          <w:rFonts w:eastAsia="Calibri"/>
          <w:lang w:eastAsia="en-US"/>
        </w:rPr>
        <w:t>a</w:t>
      </w:r>
      <w:r w:rsidRPr="008E7137">
        <w:rPr>
          <w:rFonts w:eastAsia="Calibri"/>
          <w:lang w:eastAsia="en-US"/>
        </w:rPr>
        <w:t>angehouden:</w:t>
      </w:r>
    </w:p>
    <w:p w14:paraId="121B0884" w14:textId="77777777" w:rsidR="00376230" w:rsidRDefault="00376230" w:rsidP="00376230">
      <w:pPr>
        <w:rPr>
          <w:rFonts w:ascii="Lucida Sans Unicode" w:hAnsi="Lucida Sans Unicode" w:cs="Lucida Sans Unicode"/>
        </w:rPr>
      </w:pPr>
    </w:p>
    <w:p w14:paraId="322271BE" w14:textId="77777777" w:rsidR="00376230" w:rsidRPr="00374B88" w:rsidRDefault="00376230" w:rsidP="00374B88">
      <w:pPr>
        <w:pStyle w:val="MOBHoofdstuk"/>
        <w:ind w:left="431" w:hanging="431"/>
      </w:pPr>
      <w:bookmarkStart w:id="7" w:name="_Toc280352953"/>
      <w:bookmarkStart w:id="8" w:name="_Toc298250968"/>
      <w:bookmarkStart w:id="9" w:name="_Toc327715420"/>
      <w:bookmarkStart w:id="10" w:name="_Toc85118618"/>
      <w:r w:rsidRPr="00374B88">
        <w:lastRenderedPageBreak/>
        <w:t>Directe en indirecte GHG-emissies</w:t>
      </w:r>
      <w:bookmarkEnd w:id="7"/>
      <w:bookmarkEnd w:id="8"/>
      <w:bookmarkEnd w:id="9"/>
      <w:bookmarkEnd w:id="10"/>
    </w:p>
    <w:p w14:paraId="31D7D55C" w14:textId="66407AFB" w:rsidR="00376230" w:rsidRDefault="00376230" w:rsidP="00376230">
      <w:pPr>
        <w:rPr>
          <w:rFonts w:eastAsia="Calibri"/>
          <w:lang w:eastAsia="en-US"/>
        </w:rPr>
      </w:pPr>
      <w:r w:rsidRPr="00F95BFB">
        <w:rPr>
          <w:rFonts w:eastAsia="Calibri"/>
          <w:lang w:eastAsia="en-US"/>
        </w:rPr>
        <w:t>In dit hoofdstuk worden de berekende GHG emissies toegelicht.</w:t>
      </w:r>
      <w:bookmarkStart w:id="11" w:name="_Toc280352954"/>
      <w:bookmarkStart w:id="12" w:name="_Toc298250969"/>
      <w:bookmarkStart w:id="13" w:name="_Toc327715421"/>
    </w:p>
    <w:p w14:paraId="66187C18" w14:textId="77777777" w:rsidR="003779D9" w:rsidRDefault="003779D9" w:rsidP="00376230">
      <w:pPr>
        <w:rPr>
          <w:rFonts w:eastAsia="Calibri"/>
          <w:lang w:eastAsia="en-US"/>
        </w:rPr>
      </w:pPr>
    </w:p>
    <w:tbl>
      <w:tblPr>
        <w:tblW w:w="9272" w:type="dxa"/>
        <w:tblCellMar>
          <w:left w:w="70" w:type="dxa"/>
          <w:right w:w="70" w:type="dxa"/>
        </w:tblCellMar>
        <w:tblLook w:val="04A0" w:firstRow="1" w:lastRow="0" w:firstColumn="1" w:lastColumn="0" w:noHBand="0" w:noVBand="1"/>
      </w:tblPr>
      <w:tblGrid>
        <w:gridCol w:w="2796"/>
        <w:gridCol w:w="1216"/>
        <w:gridCol w:w="1116"/>
        <w:gridCol w:w="976"/>
        <w:gridCol w:w="1663"/>
        <w:gridCol w:w="556"/>
        <w:gridCol w:w="976"/>
      </w:tblGrid>
      <w:tr w:rsidR="00E35033" w:rsidRPr="00E35033" w14:paraId="6FD1FE21" w14:textId="77777777" w:rsidTr="00E35033">
        <w:trPr>
          <w:trHeight w:val="255"/>
        </w:trPr>
        <w:tc>
          <w:tcPr>
            <w:tcW w:w="2796" w:type="dxa"/>
            <w:tcBorders>
              <w:top w:val="nil"/>
              <w:left w:val="nil"/>
              <w:bottom w:val="nil"/>
              <w:right w:val="nil"/>
            </w:tcBorders>
            <w:shd w:val="clear" w:color="000000" w:fill="FFFFFF"/>
            <w:noWrap/>
            <w:vAlign w:val="bottom"/>
            <w:hideMark/>
          </w:tcPr>
          <w:p w14:paraId="418AA1A9" w14:textId="77777777" w:rsidR="00E35033" w:rsidRPr="00E35033" w:rsidRDefault="00E35033" w:rsidP="00E35033">
            <w:pPr>
              <w:spacing w:line="240" w:lineRule="auto"/>
              <w:rPr>
                <w:rFonts w:ascii="Arial" w:hAnsi="Arial" w:cs="Arial"/>
                <w:b/>
                <w:bCs/>
                <w:color w:val="000000"/>
                <w:szCs w:val="20"/>
              </w:rPr>
            </w:pPr>
            <w:r w:rsidRPr="00E35033">
              <w:rPr>
                <w:rFonts w:ascii="Arial" w:hAnsi="Arial" w:cs="Arial"/>
                <w:b/>
                <w:bCs/>
                <w:color w:val="000000"/>
                <w:szCs w:val="20"/>
              </w:rPr>
              <w:t>Emissie inventaris 2024</w:t>
            </w:r>
          </w:p>
        </w:tc>
        <w:tc>
          <w:tcPr>
            <w:tcW w:w="1216" w:type="dxa"/>
            <w:tcBorders>
              <w:top w:val="nil"/>
              <w:left w:val="nil"/>
              <w:bottom w:val="nil"/>
              <w:right w:val="nil"/>
            </w:tcBorders>
            <w:shd w:val="clear" w:color="000000" w:fill="FFFFFF"/>
            <w:noWrap/>
            <w:vAlign w:val="bottom"/>
            <w:hideMark/>
          </w:tcPr>
          <w:p w14:paraId="7E689E3E"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116" w:type="dxa"/>
            <w:tcBorders>
              <w:top w:val="nil"/>
              <w:left w:val="nil"/>
              <w:bottom w:val="nil"/>
              <w:right w:val="nil"/>
            </w:tcBorders>
            <w:shd w:val="clear" w:color="000000" w:fill="FFFFFF"/>
            <w:noWrap/>
            <w:vAlign w:val="bottom"/>
            <w:hideMark/>
          </w:tcPr>
          <w:p w14:paraId="0E8BA62A"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nil"/>
              <w:right w:val="nil"/>
            </w:tcBorders>
            <w:shd w:val="clear" w:color="000000" w:fill="FFFFFF"/>
            <w:noWrap/>
            <w:vAlign w:val="bottom"/>
            <w:hideMark/>
          </w:tcPr>
          <w:p w14:paraId="1E7253A1"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636" w:type="dxa"/>
            <w:tcBorders>
              <w:top w:val="nil"/>
              <w:left w:val="nil"/>
              <w:bottom w:val="nil"/>
              <w:right w:val="nil"/>
            </w:tcBorders>
            <w:shd w:val="clear" w:color="000000" w:fill="FFFFFF"/>
            <w:noWrap/>
            <w:vAlign w:val="bottom"/>
            <w:hideMark/>
          </w:tcPr>
          <w:p w14:paraId="22FF0E13"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556" w:type="dxa"/>
            <w:tcBorders>
              <w:top w:val="nil"/>
              <w:left w:val="nil"/>
              <w:bottom w:val="nil"/>
              <w:right w:val="nil"/>
            </w:tcBorders>
            <w:shd w:val="clear" w:color="000000" w:fill="FFFFFF"/>
            <w:noWrap/>
            <w:vAlign w:val="bottom"/>
            <w:hideMark/>
          </w:tcPr>
          <w:p w14:paraId="2DCBA66D"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nil"/>
              <w:right w:val="nil"/>
            </w:tcBorders>
            <w:shd w:val="clear" w:color="000000" w:fill="FFFFFF"/>
            <w:noWrap/>
            <w:vAlign w:val="bottom"/>
            <w:hideMark/>
          </w:tcPr>
          <w:p w14:paraId="78BC6DEC"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r>
      <w:tr w:rsidR="00E35033" w:rsidRPr="00E35033" w14:paraId="685657FC" w14:textId="77777777" w:rsidTr="00E35033">
        <w:trPr>
          <w:trHeight w:val="255"/>
        </w:trPr>
        <w:tc>
          <w:tcPr>
            <w:tcW w:w="2796" w:type="dxa"/>
            <w:tcBorders>
              <w:top w:val="nil"/>
              <w:left w:val="nil"/>
              <w:bottom w:val="nil"/>
              <w:right w:val="nil"/>
            </w:tcBorders>
            <w:shd w:val="clear" w:color="000000" w:fill="FFFFFF"/>
            <w:noWrap/>
            <w:vAlign w:val="bottom"/>
            <w:hideMark/>
          </w:tcPr>
          <w:p w14:paraId="660F1A84"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216" w:type="dxa"/>
            <w:tcBorders>
              <w:top w:val="nil"/>
              <w:left w:val="nil"/>
              <w:bottom w:val="nil"/>
              <w:right w:val="nil"/>
            </w:tcBorders>
            <w:shd w:val="clear" w:color="000000" w:fill="FFFFFF"/>
            <w:noWrap/>
            <w:vAlign w:val="bottom"/>
            <w:hideMark/>
          </w:tcPr>
          <w:p w14:paraId="6C7934C2"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116" w:type="dxa"/>
            <w:tcBorders>
              <w:top w:val="nil"/>
              <w:left w:val="nil"/>
              <w:bottom w:val="nil"/>
              <w:right w:val="nil"/>
            </w:tcBorders>
            <w:shd w:val="clear" w:color="000000" w:fill="FFFFFF"/>
            <w:noWrap/>
            <w:vAlign w:val="bottom"/>
            <w:hideMark/>
          </w:tcPr>
          <w:p w14:paraId="00E9EB85"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nil"/>
              <w:right w:val="nil"/>
            </w:tcBorders>
            <w:shd w:val="clear" w:color="000000" w:fill="FFFFFF"/>
            <w:noWrap/>
            <w:vAlign w:val="bottom"/>
            <w:hideMark/>
          </w:tcPr>
          <w:p w14:paraId="28FCF64E"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636" w:type="dxa"/>
            <w:tcBorders>
              <w:top w:val="nil"/>
              <w:left w:val="nil"/>
              <w:bottom w:val="nil"/>
              <w:right w:val="nil"/>
            </w:tcBorders>
            <w:shd w:val="clear" w:color="000000" w:fill="FFFFFF"/>
            <w:noWrap/>
            <w:vAlign w:val="bottom"/>
            <w:hideMark/>
          </w:tcPr>
          <w:p w14:paraId="0B81CF87"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556" w:type="dxa"/>
            <w:tcBorders>
              <w:top w:val="nil"/>
              <w:left w:val="nil"/>
              <w:bottom w:val="nil"/>
              <w:right w:val="nil"/>
            </w:tcBorders>
            <w:shd w:val="clear" w:color="000000" w:fill="FFFFFF"/>
            <w:noWrap/>
            <w:vAlign w:val="bottom"/>
            <w:hideMark/>
          </w:tcPr>
          <w:p w14:paraId="0E032E13"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nil"/>
              <w:right w:val="nil"/>
            </w:tcBorders>
            <w:shd w:val="clear" w:color="000000" w:fill="FFFFFF"/>
            <w:noWrap/>
            <w:vAlign w:val="bottom"/>
            <w:hideMark/>
          </w:tcPr>
          <w:p w14:paraId="2B0B3754"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r>
      <w:tr w:rsidR="00E35033" w:rsidRPr="00E35033" w14:paraId="7743A5D6" w14:textId="77777777" w:rsidTr="00E35033">
        <w:trPr>
          <w:trHeight w:val="255"/>
        </w:trPr>
        <w:tc>
          <w:tcPr>
            <w:tcW w:w="2796" w:type="dxa"/>
            <w:tcBorders>
              <w:top w:val="nil"/>
              <w:left w:val="nil"/>
              <w:bottom w:val="single" w:sz="4" w:space="0" w:color="000000"/>
              <w:right w:val="nil"/>
            </w:tcBorders>
            <w:shd w:val="clear" w:color="92D050" w:fill="92D050"/>
            <w:noWrap/>
            <w:vAlign w:val="bottom"/>
            <w:hideMark/>
          </w:tcPr>
          <w:p w14:paraId="537A4529" w14:textId="77777777" w:rsidR="00E35033" w:rsidRPr="00E35033" w:rsidRDefault="00E35033" w:rsidP="00E35033">
            <w:pPr>
              <w:spacing w:line="240" w:lineRule="auto"/>
              <w:rPr>
                <w:rFonts w:ascii="Arial" w:hAnsi="Arial" w:cs="Arial"/>
                <w:b/>
                <w:bCs/>
                <w:color w:val="000000"/>
                <w:szCs w:val="20"/>
              </w:rPr>
            </w:pPr>
            <w:r w:rsidRPr="00E35033">
              <w:rPr>
                <w:rFonts w:ascii="Arial" w:hAnsi="Arial" w:cs="Arial"/>
                <w:b/>
                <w:bCs/>
                <w:color w:val="000000"/>
                <w:szCs w:val="20"/>
              </w:rPr>
              <w:t>Scope 1</w:t>
            </w:r>
          </w:p>
        </w:tc>
        <w:tc>
          <w:tcPr>
            <w:tcW w:w="1216" w:type="dxa"/>
            <w:tcBorders>
              <w:top w:val="nil"/>
              <w:left w:val="nil"/>
              <w:bottom w:val="single" w:sz="4" w:space="0" w:color="000000"/>
              <w:right w:val="nil"/>
            </w:tcBorders>
            <w:shd w:val="clear" w:color="92D050" w:fill="92D050"/>
            <w:noWrap/>
            <w:vAlign w:val="bottom"/>
            <w:hideMark/>
          </w:tcPr>
          <w:p w14:paraId="14BC198D"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116" w:type="dxa"/>
            <w:tcBorders>
              <w:top w:val="nil"/>
              <w:left w:val="nil"/>
              <w:bottom w:val="single" w:sz="4" w:space="0" w:color="000000"/>
              <w:right w:val="nil"/>
            </w:tcBorders>
            <w:shd w:val="clear" w:color="92D050" w:fill="92D050"/>
            <w:noWrap/>
            <w:vAlign w:val="bottom"/>
            <w:hideMark/>
          </w:tcPr>
          <w:p w14:paraId="0F2D0008" w14:textId="77777777" w:rsidR="00E35033" w:rsidRPr="00E35033" w:rsidRDefault="00E35033" w:rsidP="00E35033">
            <w:pPr>
              <w:spacing w:line="240" w:lineRule="auto"/>
              <w:rPr>
                <w:rFonts w:ascii="Arial" w:hAnsi="Arial" w:cs="Arial"/>
                <w:b/>
                <w:bCs/>
                <w:color w:val="000000"/>
                <w:szCs w:val="20"/>
              </w:rPr>
            </w:pPr>
            <w:r w:rsidRPr="00E35033">
              <w:rPr>
                <w:rFonts w:ascii="Arial" w:hAnsi="Arial" w:cs="Arial"/>
                <w:b/>
                <w:bCs/>
                <w:color w:val="000000"/>
                <w:szCs w:val="20"/>
              </w:rPr>
              <w:t>Omvang</w:t>
            </w:r>
          </w:p>
        </w:tc>
        <w:tc>
          <w:tcPr>
            <w:tcW w:w="976" w:type="dxa"/>
            <w:tcBorders>
              <w:top w:val="nil"/>
              <w:left w:val="nil"/>
              <w:bottom w:val="single" w:sz="4" w:space="0" w:color="000000"/>
              <w:right w:val="nil"/>
            </w:tcBorders>
            <w:shd w:val="clear" w:color="92D050" w:fill="92D050"/>
            <w:noWrap/>
            <w:vAlign w:val="bottom"/>
            <w:hideMark/>
          </w:tcPr>
          <w:p w14:paraId="4C66E329" w14:textId="77777777" w:rsidR="00E35033" w:rsidRPr="00E35033" w:rsidRDefault="00E35033" w:rsidP="00E35033">
            <w:pPr>
              <w:spacing w:line="240" w:lineRule="auto"/>
              <w:rPr>
                <w:rFonts w:ascii="Arial" w:hAnsi="Arial" w:cs="Arial"/>
                <w:b/>
                <w:bCs/>
                <w:color w:val="000000"/>
                <w:szCs w:val="20"/>
              </w:rPr>
            </w:pPr>
            <w:r w:rsidRPr="00E35033">
              <w:rPr>
                <w:rFonts w:ascii="Arial" w:hAnsi="Arial" w:cs="Arial"/>
                <w:b/>
                <w:bCs/>
                <w:color w:val="000000"/>
                <w:szCs w:val="20"/>
              </w:rPr>
              <w:t>Eenheid</w:t>
            </w:r>
          </w:p>
        </w:tc>
        <w:tc>
          <w:tcPr>
            <w:tcW w:w="1636" w:type="dxa"/>
            <w:tcBorders>
              <w:top w:val="nil"/>
              <w:left w:val="nil"/>
              <w:bottom w:val="single" w:sz="4" w:space="0" w:color="000000"/>
              <w:right w:val="nil"/>
            </w:tcBorders>
            <w:shd w:val="clear" w:color="92D050" w:fill="92D050"/>
            <w:noWrap/>
            <w:vAlign w:val="bottom"/>
            <w:hideMark/>
          </w:tcPr>
          <w:p w14:paraId="222574D6" w14:textId="77777777" w:rsidR="00E35033" w:rsidRPr="00E35033" w:rsidRDefault="00E35033" w:rsidP="00E35033">
            <w:pPr>
              <w:spacing w:line="240" w:lineRule="auto"/>
              <w:rPr>
                <w:rFonts w:ascii="Arial" w:hAnsi="Arial" w:cs="Arial"/>
                <w:b/>
                <w:bCs/>
                <w:color w:val="000000"/>
                <w:szCs w:val="20"/>
              </w:rPr>
            </w:pPr>
            <w:r w:rsidRPr="00E35033">
              <w:rPr>
                <w:rFonts w:ascii="Arial" w:hAnsi="Arial" w:cs="Arial"/>
                <w:b/>
                <w:bCs/>
                <w:color w:val="000000"/>
                <w:szCs w:val="20"/>
              </w:rPr>
              <w:t>Conversiefactor</w:t>
            </w:r>
          </w:p>
        </w:tc>
        <w:tc>
          <w:tcPr>
            <w:tcW w:w="556" w:type="dxa"/>
            <w:tcBorders>
              <w:top w:val="nil"/>
              <w:left w:val="nil"/>
              <w:bottom w:val="single" w:sz="4" w:space="0" w:color="000000"/>
              <w:right w:val="nil"/>
            </w:tcBorders>
            <w:shd w:val="clear" w:color="92D050" w:fill="92D050"/>
            <w:noWrap/>
            <w:vAlign w:val="bottom"/>
            <w:hideMark/>
          </w:tcPr>
          <w:p w14:paraId="12000086"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single" w:sz="4" w:space="0" w:color="000000"/>
              <w:right w:val="nil"/>
            </w:tcBorders>
            <w:shd w:val="clear" w:color="92D050" w:fill="92D050"/>
            <w:noWrap/>
            <w:vAlign w:val="bottom"/>
            <w:hideMark/>
          </w:tcPr>
          <w:p w14:paraId="2520D2CC" w14:textId="77777777" w:rsidR="00E35033" w:rsidRPr="00E35033" w:rsidRDefault="00E35033" w:rsidP="00E35033">
            <w:pPr>
              <w:spacing w:line="240" w:lineRule="auto"/>
              <w:rPr>
                <w:rFonts w:ascii="Arial" w:hAnsi="Arial" w:cs="Arial"/>
                <w:b/>
                <w:bCs/>
                <w:color w:val="000000"/>
                <w:szCs w:val="20"/>
              </w:rPr>
            </w:pPr>
            <w:r w:rsidRPr="00E35033">
              <w:rPr>
                <w:rFonts w:ascii="Arial" w:hAnsi="Arial" w:cs="Arial"/>
                <w:b/>
                <w:bCs/>
                <w:color w:val="000000"/>
                <w:szCs w:val="20"/>
              </w:rPr>
              <w:t>Ton CO</w:t>
            </w:r>
            <w:r w:rsidRPr="00E35033">
              <w:rPr>
                <w:rFonts w:ascii="Arial" w:hAnsi="Arial" w:cs="Arial"/>
                <w:b/>
                <w:bCs/>
                <w:color w:val="000000"/>
                <w:szCs w:val="20"/>
                <w:vertAlign w:val="subscript"/>
              </w:rPr>
              <w:t>2</w:t>
            </w:r>
          </w:p>
        </w:tc>
      </w:tr>
      <w:tr w:rsidR="00E35033" w:rsidRPr="00E35033" w14:paraId="0D1655C8" w14:textId="77777777" w:rsidTr="00E35033">
        <w:trPr>
          <w:trHeight w:val="255"/>
        </w:trPr>
        <w:tc>
          <w:tcPr>
            <w:tcW w:w="2796" w:type="dxa"/>
            <w:tcBorders>
              <w:top w:val="nil"/>
              <w:left w:val="nil"/>
              <w:bottom w:val="nil"/>
              <w:right w:val="nil"/>
            </w:tcBorders>
            <w:noWrap/>
            <w:vAlign w:val="bottom"/>
            <w:hideMark/>
          </w:tcPr>
          <w:p w14:paraId="793DF8C0" w14:textId="77777777" w:rsidR="00E35033" w:rsidRPr="00E35033" w:rsidRDefault="00E35033" w:rsidP="00E35033">
            <w:pPr>
              <w:spacing w:line="240" w:lineRule="auto"/>
              <w:rPr>
                <w:rFonts w:cs="Calibri"/>
                <w:color w:val="auto"/>
                <w:szCs w:val="20"/>
              </w:rPr>
            </w:pPr>
            <w:r w:rsidRPr="00E35033">
              <w:rPr>
                <w:rFonts w:cs="Calibri"/>
                <w:color w:val="auto"/>
                <w:szCs w:val="20"/>
              </w:rPr>
              <w:t>Gasverbruik</w:t>
            </w:r>
          </w:p>
        </w:tc>
        <w:tc>
          <w:tcPr>
            <w:tcW w:w="1216" w:type="dxa"/>
            <w:tcBorders>
              <w:top w:val="nil"/>
              <w:left w:val="nil"/>
              <w:bottom w:val="nil"/>
              <w:right w:val="nil"/>
            </w:tcBorders>
            <w:noWrap/>
            <w:vAlign w:val="bottom"/>
            <w:hideMark/>
          </w:tcPr>
          <w:p w14:paraId="597CE13F" w14:textId="77777777" w:rsidR="00E35033" w:rsidRPr="00E35033" w:rsidRDefault="00E35033" w:rsidP="00E35033">
            <w:pPr>
              <w:spacing w:line="240" w:lineRule="auto"/>
              <w:rPr>
                <w:rFonts w:cs="Calibri"/>
                <w:color w:val="auto"/>
                <w:szCs w:val="20"/>
              </w:rPr>
            </w:pPr>
          </w:p>
        </w:tc>
        <w:tc>
          <w:tcPr>
            <w:tcW w:w="1116" w:type="dxa"/>
            <w:tcBorders>
              <w:top w:val="nil"/>
              <w:left w:val="nil"/>
              <w:bottom w:val="nil"/>
              <w:right w:val="nil"/>
            </w:tcBorders>
            <w:noWrap/>
            <w:vAlign w:val="bottom"/>
            <w:hideMark/>
          </w:tcPr>
          <w:p w14:paraId="26DA25B3"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3.910</w:t>
            </w:r>
          </w:p>
        </w:tc>
        <w:tc>
          <w:tcPr>
            <w:tcW w:w="976" w:type="dxa"/>
            <w:tcBorders>
              <w:top w:val="nil"/>
              <w:left w:val="nil"/>
              <w:bottom w:val="nil"/>
              <w:right w:val="nil"/>
            </w:tcBorders>
            <w:noWrap/>
            <w:vAlign w:val="bottom"/>
            <w:hideMark/>
          </w:tcPr>
          <w:p w14:paraId="19E50884" w14:textId="77777777" w:rsidR="00E35033" w:rsidRPr="00E35033" w:rsidRDefault="00E35033" w:rsidP="00E35033">
            <w:pPr>
              <w:spacing w:line="240" w:lineRule="auto"/>
              <w:jc w:val="center"/>
              <w:rPr>
                <w:rFonts w:cs="Calibri"/>
                <w:color w:val="000000"/>
                <w:szCs w:val="20"/>
              </w:rPr>
            </w:pPr>
            <w:r w:rsidRPr="00E35033">
              <w:rPr>
                <w:rFonts w:cs="Calibri"/>
                <w:color w:val="000000"/>
                <w:szCs w:val="20"/>
              </w:rPr>
              <w:t>m</w:t>
            </w:r>
            <w:r w:rsidRPr="00E35033">
              <w:rPr>
                <w:rFonts w:ascii="Arial" w:hAnsi="Arial" w:cs="Arial"/>
                <w:color w:val="000000"/>
                <w:szCs w:val="20"/>
                <w:vertAlign w:val="superscript"/>
              </w:rPr>
              <w:t>3</w:t>
            </w:r>
          </w:p>
        </w:tc>
        <w:tc>
          <w:tcPr>
            <w:tcW w:w="1636" w:type="dxa"/>
            <w:tcBorders>
              <w:top w:val="nil"/>
              <w:left w:val="nil"/>
              <w:bottom w:val="nil"/>
              <w:right w:val="nil"/>
            </w:tcBorders>
            <w:noWrap/>
            <w:vAlign w:val="bottom"/>
            <w:hideMark/>
          </w:tcPr>
          <w:p w14:paraId="0284642F"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2.134</w:t>
            </w:r>
          </w:p>
        </w:tc>
        <w:tc>
          <w:tcPr>
            <w:tcW w:w="556" w:type="dxa"/>
            <w:tcBorders>
              <w:top w:val="nil"/>
              <w:left w:val="nil"/>
              <w:bottom w:val="nil"/>
              <w:right w:val="nil"/>
            </w:tcBorders>
            <w:noWrap/>
            <w:vAlign w:val="bottom"/>
            <w:hideMark/>
          </w:tcPr>
          <w:p w14:paraId="2C040357" w14:textId="77777777" w:rsidR="00E35033" w:rsidRPr="00E35033" w:rsidRDefault="00E35033" w:rsidP="00E35033">
            <w:pPr>
              <w:spacing w:line="240" w:lineRule="auto"/>
              <w:jc w:val="center"/>
              <w:rPr>
                <w:rFonts w:ascii="Arial" w:hAnsi="Arial" w:cs="Arial"/>
                <w:color w:val="000000"/>
                <w:szCs w:val="20"/>
              </w:rPr>
            </w:pPr>
          </w:p>
        </w:tc>
        <w:tc>
          <w:tcPr>
            <w:tcW w:w="976" w:type="dxa"/>
            <w:tcBorders>
              <w:top w:val="nil"/>
              <w:left w:val="nil"/>
              <w:bottom w:val="nil"/>
              <w:right w:val="nil"/>
            </w:tcBorders>
            <w:noWrap/>
            <w:vAlign w:val="bottom"/>
            <w:hideMark/>
          </w:tcPr>
          <w:p w14:paraId="3100F727"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8</w:t>
            </w:r>
          </w:p>
        </w:tc>
      </w:tr>
      <w:tr w:rsidR="00E35033" w:rsidRPr="00E35033" w14:paraId="5FADDEE9" w14:textId="77777777" w:rsidTr="00E35033">
        <w:trPr>
          <w:trHeight w:val="255"/>
        </w:trPr>
        <w:tc>
          <w:tcPr>
            <w:tcW w:w="4012" w:type="dxa"/>
            <w:gridSpan w:val="2"/>
            <w:tcBorders>
              <w:top w:val="nil"/>
              <w:left w:val="nil"/>
              <w:bottom w:val="nil"/>
              <w:right w:val="nil"/>
            </w:tcBorders>
            <w:noWrap/>
            <w:vAlign w:val="bottom"/>
            <w:hideMark/>
          </w:tcPr>
          <w:p w14:paraId="2CE59F7E" w14:textId="77777777" w:rsidR="00E35033" w:rsidRPr="00E35033" w:rsidRDefault="00E35033" w:rsidP="00E35033">
            <w:pPr>
              <w:spacing w:line="240" w:lineRule="auto"/>
              <w:rPr>
                <w:rFonts w:cs="Calibri"/>
                <w:color w:val="000000"/>
                <w:szCs w:val="20"/>
              </w:rPr>
            </w:pPr>
            <w:r w:rsidRPr="00E35033">
              <w:rPr>
                <w:rFonts w:cs="Calibri"/>
                <w:color w:val="000000"/>
                <w:szCs w:val="20"/>
              </w:rPr>
              <w:t>Brandstofverbruik (lease)auto's (benzine)</w:t>
            </w:r>
          </w:p>
        </w:tc>
        <w:tc>
          <w:tcPr>
            <w:tcW w:w="1116" w:type="dxa"/>
            <w:tcBorders>
              <w:top w:val="nil"/>
              <w:left w:val="nil"/>
              <w:bottom w:val="nil"/>
              <w:right w:val="nil"/>
            </w:tcBorders>
            <w:noWrap/>
            <w:vAlign w:val="bottom"/>
            <w:hideMark/>
          </w:tcPr>
          <w:p w14:paraId="00246358"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4.503</w:t>
            </w:r>
          </w:p>
        </w:tc>
        <w:tc>
          <w:tcPr>
            <w:tcW w:w="976" w:type="dxa"/>
            <w:tcBorders>
              <w:top w:val="nil"/>
              <w:left w:val="nil"/>
              <w:bottom w:val="nil"/>
              <w:right w:val="nil"/>
            </w:tcBorders>
            <w:noWrap/>
            <w:vAlign w:val="bottom"/>
            <w:hideMark/>
          </w:tcPr>
          <w:p w14:paraId="0F03CDC9" w14:textId="77777777" w:rsidR="00E35033" w:rsidRPr="00E35033" w:rsidRDefault="00E35033" w:rsidP="00E35033">
            <w:pPr>
              <w:spacing w:line="240" w:lineRule="auto"/>
              <w:jc w:val="center"/>
              <w:rPr>
                <w:rFonts w:cs="Calibri"/>
                <w:color w:val="000000"/>
                <w:szCs w:val="20"/>
              </w:rPr>
            </w:pPr>
            <w:r w:rsidRPr="00E35033">
              <w:rPr>
                <w:rFonts w:cs="Calibri"/>
                <w:color w:val="000000"/>
                <w:szCs w:val="20"/>
              </w:rPr>
              <w:t>liters</w:t>
            </w:r>
          </w:p>
        </w:tc>
        <w:tc>
          <w:tcPr>
            <w:tcW w:w="1636" w:type="dxa"/>
            <w:tcBorders>
              <w:top w:val="nil"/>
              <w:left w:val="nil"/>
              <w:bottom w:val="nil"/>
              <w:right w:val="nil"/>
            </w:tcBorders>
            <w:noWrap/>
            <w:vAlign w:val="bottom"/>
            <w:hideMark/>
          </w:tcPr>
          <w:p w14:paraId="1FFA4EF2"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2.821</w:t>
            </w:r>
          </w:p>
        </w:tc>
        <w:tc>
          <w:tcPr>
            <w:tcW w:w="556" w:type="dxa"/>
            <w:tcBorders>
              <w:top w:val="nil"/>
              <w:left w:val="nil"/>
              <w:bottom w:val="nil"/>
              <w:right w:val="nil"/>
            </w:tcBorders>
            <w:noWrap/>
            <w:vAlign w:val="bottom"/>
            <w:hideMark/>
          </w:tcPr>
          <w:p w14:paraId="60B3613A" w14:textId="77777777" w:rsidR="00E35033" w:rsidRPr="00E35033" w:rsidRDefault="00E35033" w:rsidP="00E35033">
            <w:pPr>
              <w:spacing w:line="240" w:lineRule="auto"/>
              <w:jc w:val="center"/>
              <w:rPr>
                <w:rFonts w:ascii="Arial" w:hAnsi="Arial" w:cs="Arial"/>
                <w:color w:val="000000"/>
                <w:szCs w:val="20"/>
              </w:rPr>
            </w:pPr>
          </w:p>
        </w:tc>
        <w:tc>
          <w:tcPr>
            <w:tcW w:w="976" w:type="dxa"/>
            <w:tcBorders>
              <w:top w:val="nil"/>
              <w:left w:val="nil"/>
              <w:bottom w:val="nil"/>
              <w:right w:val="nil"/>
            </w:tcBorders>
            <w:noWrap/>
            <w:vAlign w:val="bottom"/>
            <w:hideMark/>
          </w:tcPr>
          <w:p w14:paraId="5CA5CCC7"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12,70</w:t>
            </w:r>
          </w:p>
        </w:tc>
      </w:tr>
      <w:tr w:rsidR="00E35033" w:rsidRPr="00E35033" w14:paraId="5EA184A0" w14:textId="77777777" w:rsidTr="00E35033">
        <w:trPr>
          <w:trHeight w:val="255"/>
        </w:trPr>
        <w:tc>
          <w:tcPr>
            <w:tcW w:w="2796" w:type="dxa"/>
            <w:tcBorders>
              <w:top w:val="nil"/>
              <w:left w:val="nil"/>
              <w:bottom w:val="nil"/>
              <w:right w:val="nil"/>
            </w:tcBorders>
            <w:shd w:val="clear" w:color="000000" w:fill="FFFFFF"/>
            <w:noWrap/>
            <w:vAlign w:val="bottom"/>
            <w:hideMark/>
          </w:tcPr>
          <w:p w14:paraId="2C4D6AB6"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216" w:type="dxa"/>
            <w:tcBorders>
              <w:top w:val="nil"/>
              <w:left w:val="nil"/>
              <w:bottom w:val="nil"/>
              <w:right w:val="nil"/>
            </w:tcBorders>
            <w:shd w:val="clear" w:color="000000" w:fill="FFFFFF"/>
            <w:noWrap/>
            <w:vAlign w:val="bottom"/>
            <w:hideMark/>
          </w:tcPr>
          <w:p w14:paraId="31038855"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116" w:type="dxa"/>
            <w:tcBorders>
              <w:top w:val="nil"/>
              <w:left w:val="nil"/>
              <w:bottom w:val="nil"/>
              <w:right w:val="nil"/>
            </w:tcBorders>
            <w:shd w:val="clear" w:color="000000" w:fill="FFFFFF"/>
            <w:noWrap/>
            <w:vAlign w:val="bottom"/>
            <w:hideMark/>
          </w:tcPr>
          <w:p w14:paraId="6F91F1E7"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nil"/>
              <w:right w:val="nil"/>
            </w:tcBorders>
            <w:shd w:val="clear" w:color="000000" w:fill="FFFFFF"/>
            <w:noWrap/>
            <w:vAlign w:val="bottom"/>
            <w:hideMark/>
          </w:tcPr>
          <w:p w14:paraId="4CFA20A1"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636" w:type="dxa"/>
            <w:tcBorders>
              <w:top w:val="nil"/>
              <w:left w:val="nil"/>
              <w:bottom w:val="nil"/>
              <w:right w:val="nil"/>
            </w:tcBorders>
            <w:shd w:val="clear" w:color="A5A5A5" w:fill="FFFFFF"/>
            <w:noWrap/>
            <w:vAlign w:val="bottom"/>
            <w:hideMark/>
          </w:tcPr>
          <w:p w14:paraId="32C2A81E" w14:textId="77777777" w:rsidR="00E35033" w:rsidRPr="00E35033" w:rsidRDefault="00E35033" w:rsidP="00E35033">
            <w:pPr>
              <w:spacing w:line="240" w:lineRule="auto"/>
              <w:rPr>
                <w:rFonts w:ascii="Arial" w:hAnsi="Arial" w:cs="Arial"/>
                <w:b/>
                <w:bCs/>
                <w:i/>
                <w:iCs/>
                <w:color w:val="000000"/>
                <w:szCs w:val="20"/>
              </w:rPr>
            </w:pPr>
            <w:r w:rsidRPr="00E35033">
              <w:rPr>
                <w:rFonts w:ascii="Arial" w:hAnsi="Arial" w:cs="Arial"/>
                <w:b/>
                <w:bCs/>
                <w:i/>
                <w:iCs/>
                <w:color w:val="000000"/>
                <w:szCs w:val="20"/>
              </w:rPr>
              <w:t>Totaal scope 1</w:t>
            </w:r>
          </w:p>
        </w:tc>
        <w:tc>
          <w:tcPr>
            <w:tcW w:w="556" w:type="dxa"/>
            <w:tcBorders>
              <w:top w:val="nil"/>
              <w:left w:val="nil"/>
              <w:bottom w:val="nil"/>
              <w:right w:val="nil"/>
            </w:tcBorders>
            <w:shd w:val="clear" w:color="A5A5A5" w:fill="FFFFFF"/>
            <w:noWrap/>
            <w:vAlign w:val="bottom"/>
            <w:hideMark/>
          </w:tcPr>
          <w:p w14:paraId="70B84264" w14:textId="77777777" w:rsidR="00E35033" w:rsidRPr="00E35033" w:rsidRDefault="00E35033" w:rsidP="00E35033">
            <w:pPr>
              <w:spacing w:line="240" w:lineRule="auto"/>
              <w:rPr>
                <w:rFonts w:ascii="Arial" w:hAnsi="Arial" w:cs="Arial"/>
                <w:b/>
                <w:bCs/>
                <w:i/>
                <w:iCs/>
                <w:color w:val="000000"/>
                <w:szCs w:val="20"/>
              </w:rPr>
            </w:pPr>
            <w:r w:rsidRPr="00E35033">
              <w:rPr>
                <w:rFonts w:ascii="Arial" w:hAnsi="Arial" w:cs="Arial"/>
                <w:b/>
                <w:bCs/>
                <w:i/>
                <w:iCs/>
                <w:color w:val="000000"/>
                <w:szCs w:val="20"/>
              </w:rPr>
              <w:t> </w:t>
            </w:r>
          </w:p>
        </w:tc>
        <w:tc>
          <w:tcPr>
            <w:tcW w:w="976" w:type="dxa"/>
            <w:tcBorders>
              <w:top w:val="nil"/>
              <w:left w:val="nil"/>
              <w:bottom w:val="nil"/>
              <w:right w:val="nil"/>
            </w:tcBorders>
            <w:shd w:val="clear" w:color="A5A5A5" w:fill="FFFFFF"/>
            <w:noWrap/>
            <w:vAlign w:val="bottom"/>
            <w:hideMark/>
          </w:tcPr>
          <w:p w14:paraId="67D7D8B5" w14:textId="77777777" w:rsidR="00E35033" w:rsidRPr="00E35033" w:rsidRDefault="00E35033" w:rsidP="00E35033">
            <w:pPr>
              <w:spacing w:line="240" w:lineRule="auto"/>
              <w:jc w:val="center"/>
              <w:rPr>
                <w:rFonts w:ascii="Arial" w:hAnsi="Arial" w:cs="Arial"/>
                <w:b/>
                <w:bCs/>
                <w:i/>
                <w:iCs/>
                <w:color w:val="000000"/>
                <w:szCs w:val="20"/>
              </w:rPr>
            </w:pPr>
            <w:r w:rsidRPr="00E35033">
              <w:rPr>
                <w:rFonts w:ascii="Arial" w:hAnsi="Arial" w:cs="Arial"/>
                <w:b/>
                <w:bCs/>
                <w:i/>
                <w:iCs/>
                <w:color w:val="000000"/>
                <w:szCs w:val="20"/>
              </w:rPr>
              <w:t>21</w:t>
            </w:r>
          </w:p>
        </w:tc>
      </w:tr>
      <w:tr w:rsidR="00E35033" w:rsidRPr="00E35033" w14:paraId="0A768FF2" w14:textId="77777777" w:rsidTr="00E35033">
        <w:trPr>
          <w:trHeight w:val="255"/>
        </w:trPr>
        <w:tc>
          <w:tcPr>
            <w:tcW w:w="2796" w:type="dxa"/>
            <w:tcBorders>
              <w:top w:val="nil"/>
              <w:left w:val="nil"/>
              <w:bottom w:val="nil"/>
              <w:right w:val="nil"/>
            </w:tcBorders>
            <w:shd w:val="clear" w:color="000000" w:fill="FFFFFF"/>
            <w:noWrap/>
            <w:vAlign w:val="bottom"/>
            <w:hideMark/>
          </w:tcPr>
          <w:p w14:paraId="7569C50A" w14:textId="77777777" w:rsidR="00E35033" w:rsidRPr="00E35033" w:rsidRDefault="00E35033" w:rsidP="00E35033">
            <w:pPr>
              <w:spacing w:line="240" w:lineRule="auto"/>
              <w:rPr>
                <w:rFonts w:ascii="Arial" w:hAnsi="Arial" w:cs="Arial"/>
                <w:i/>
                <w:iCs/>
                <w:color w:val="000000"/>
                <w:szCs w:val="20"/>
              </w:rPr>
            </w:pPr>
            <w:r w:rsidRPr="00E35033">
              <w:rPr>
                <w:rFonts w:ascii="Arial" w:hAnsi="Arial" w:cs="Arial"/>
                <w:i/>
                <w:iCs/>
                <w:color w:val="000000"/>
                <w:szCs w:val="20"/>
              </w:rPr>
              <w:t> </w:t>
            </w:r>
          </w:p>
        </w:tc>
        <w:tc>
          <w:tcPr>
            <w:tcW w:w="1216" w:type="dxa"/>
            <w:tcBorders>
              <w:top w:val="nil"/>
              <w:left w:val="nil"/>
              <w:bottom w:val="nil"/>
              <w:right w:val="nil"/>
            </w:tcBorders>
            <w:shd w:val="clear" w:color="000000" w:fill="FFFFFF"/>
            <w:noWrap/>
            <w:vAlign w:val="bottom"/>
            <w:hideMark/>
          </w:tcPr>
          <w:p w14:paraId="75B90571"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116" w:type="dxa"/>
            <w:tcBorders>
              <w:top w:val="nil"/>
              <w:left w:val="nil"/>
              <w:bottom w:val="nil"/>
              <w:right w:val="nil"/>
            </w:tcBorders>
            <w:shd w:val="clear" w:color="000000" w:fill="FFFFFF"/>
            <w:noWrap/>
            <w:vAlign w:val="bottom"/>
            <w:hideMark/>
          </w:tcPr>
          <w:p w14:paraId="5612C725"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nil"/>
              <w:right w:val="nil"/>
            </w:tcBorders>
            <w:shd w:val="clear" w:color="000000" w:fill="FFFFFF"/>
            <w:noWrap/>
            <w:vAlign w:val="bottom"/>
            <w:hideMark/>
          </w:tcPr>
          <w:p w14:paraId="296EC377"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636" w:type="dxa"/>
            <w:tcBorders>
              <w:top w:val="nil"/>
              <w:left w:val="nil"/>
              <w:bottom w:val="nil"/>
              <w:right w:val="nil"/>
            </w:tcBorders>
            <w:shd w:val="clear" w:color="000000" w:fill="FFFFFF"/>
            <w:noWrap/>
            <w:vAlign w:val="bottom"/>
            <w:hideMark/>
          </w:tcPr>
          <w:p w14:paraId="194D6AB9"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 </w:t>
            </w:r>
          </w:p>
        </w:tc>
        <w:tc>
          <w:tcPr>
            <w:tcW w:w="556" w:type="dxa"/>
            <w:tcBorders>
              <w:top w:val="nil"/>
              <w:left w:val="nil"/>
              <w:bottom w:val="nil"/>
              <w:right w:val="nil"/>
            </w:tcBorders>
            <w:shd w:val="clear" w:color="000000" w:fill="FFFFFF"/>
            <w:noWrap/>
            <w:vAlign w:val="bottom"/>
            <w:hideMark/>
          </w:tcPr>
          <w:p w14:paraId="4A04016A"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nil"/>
              <w:right w:val="nil"/>
            </w:tcBorders>
            <w:shd w:val="clear" w:color="000000" w:fill="FFFFFF"/>
            <w:noWrap/>
            <w:vAlign w:val="bottom"/>
            <w:hideMark/>
          </w:tcPr>
          <w:p w14:paraId="16B720EB"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 </w:t>
            </w:r>
          </w:p>
        </w:tc>
      </w:tr>
      <w:tr w:rsidR="00E35033" w:rsidRPr="00E35033" w14:paraId="4F2B2758" w14:textId="77777777" w:rsidTr="00E35033">
        <w:trPr>
          <w:trHeight w:val="255"/>
        </w:trPr>
        <w:tc>
          <w:tcPr>
            <w:tcW w:w="2796" w:type="dxa"/>
            <w:tcBorders>
              <w:top w:val="nil"/>
              <w:left w:val="nil"/>
              <w:bottom w:val="nil"/>
              <w:right w:val="nil"/>
            </w:tcBorders>
            <w:shd w:val="clear" w:color="000000" w:fill="FFFFFF"/>
            <w:noWrap/>
            <w:vAlign w:val="bottom"/>
            <w:hideMark/>
          </w:tcPr>
          <w:p w14:paraId="017CEFB7"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216" w:type="dxa"/>
            <w:tcBorders>
              <w:top w:val="nil"/>
              <w:left w:val="nil"/>
              <w:bottom w:val="nil"/>
              <w:right w:val="nil"/>
            </w:tcBorders>
            <w:shd w:val="clear" w:color="000000" w:fill="FFFFFF"/>
            <w:noWrap/>
            <w:vAlign w:val="bottom"/>
            <w:hideMark/>
          </w:tcPr>
          <w:p w14:paraId="3104E6D2"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116" w:type="dxa"/>
            <w:tcBorders>
              <w:top w:val="nil"/>
              <w:left w:val="nil"/>
              <w:bottom w:val="nil"/>
              <w:right w:val="nil"/>
            </w:tcBorders>
            <w:shd w:val="clear" w:color="000000" w:fill="FFFFFF"/>
            <w:noWrap/>
            <w:vAlign w:val="bottom"/>
            <w:hideMark/>
          </w:tcPr>
          <w:p w14:paraId="2417C7A1"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nil"/>
              <w:right w:val="nil"/>
            </w:tcBorders>
            <w:shd w:val="clear" w:color="000000" w:fill="FFFFFF"/>
            <w:noWrap/>
            <w:vAlign w:val="bottom"/>
            <w:hideMark/>
          </w:tcPr>
          <w:p w14:paraId="3F523974"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636" w:type="dxa"/>
            <w:tcBorders>
              <w:top w:val="nil"/>
              <w:left w:val="nil"/>
              <w:bottom w:val="nil"/>
              <w:right w:val="nil"/>
            </w:tcBorders>
            <w:shd w:val="clear" w:color="000000" w:fill="FFFFFF"/>
            <w:noWrap/>
            <w:vAlign w:val="bottom"/>
            <w:hideMark/>
          </w:tcPr>
          <w:p w14:paraId="5072DDAF"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556" w:type="dxa"/>
            <w:tcBorders>
              <w:top w:val="nil"/>
              <w:left w:val="nil"/>
              <w:bottom w:val="nil"/>
              <w:right w:val="nil"/>
            </w:tcBorders>
            <w:shd w:val="clear" w:color="000000" w:fill="FFFFFF"/>
            <w:noWrap/>
            <w:vAlign w:val="bottom"/>
            <w:hideMark/>
          </w:tcPr>
          <w:p w14:paraId="61AF701E"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nil"/>
              <w:right w:val="nil"/>
            </w:tcBorders>
            <w:shd w:val="clear" w:color="000000" w:fill="FFFFFF"/>
            <w:noWrap/>
            <w:vAlign w:val="bottom"/>
            <w:hideMark/>
          </w:tcPr>
          <w:p w14:paraId="226D1E2B"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 </w:t>
            </w:r>
          </w:p>
        </w:tc>
      </w:tr>
      <w:tr w:rsidR="00E35033" w:rsidRPr="00E35033" w14:paraId="539A184C" w14:textId="77777777" w:rsidTr="00E35033">
        <w:trPr>
          <w:trHeight w:val="255"/>
        </w:trPr>
        <w:tc>
          <w:tcPr>
            <w:tcW w:w="2796" w:type="dxa"/>
            <w:tcBorders>
              <w:top w:val="nil"/>
              <w:left w:val="nil"/>
              <w:bottom w:val="single" w:sz="4" w:space="0" w:color="000000"/>
              <w:right w:val="nil"/>
            </w:tcBorders>
            <w:shd w:val="clear" w:color="92D050" w:fill="92D050"/>
            <w:noWrap/>
            <w:vAlign w:val="bottom"/>
            <w:hideMark/>
          </w:tcPr>
          <w:p w14:paraId="45913EFF" w14:textId="77777777" w:rsidR="00E35033" w:rsidRPr="00E35033" w:rsidRDefault="00E35033" w:rsidP="00E35033">
            <w:pPr>
              <w:spacing w:line="240" w:lineRule="auto"/>
              <w:rPr>
                <w:rFonts w:ascii="Arial" w:hAnsi="Arial" w:cs="Arial"/>
                <w:b/>
                <w:bCs/>
                <w:color w:val="000000"/>
                <w:szCs w:val="20"/>
              </w:rPr>
            </w:pPr>
            <w:r w:rsidRPr="00E35033">
              <w:rPr>
                <w:rFonts w:ascii="Arial" w:hAnsi="Arial" w:cs="Arial"/>
                <w:b/>
                <w:bCs/>
                <w:color w:val="000000"/>
                <w:szCs w:val="20"/>
              </w:rPr>
              <w:t>Scope 2</w:t>
            </w:r>
          </w:p>
        </w:tc>
        <w:tc>
          <w:tcPr>
            <w:tcW w:w="1216" w:type="dxa"/>
            <w:tcBorders>
              <w:top w:val="nil"/>
              <w:left w:val="nil"/>
              <w:bottom w:val="single" w:sz="4" w:space="0" w:color="000000"/>
              <w:right w:val="nil"/>
            </w:tcBorders>
            <w:shd w:val="clear" w:color="92D050" w:fill="92D050"/>
            <w:noWrap/>
            <w:vAlign w:val="bottom"/>
            <w:hideMark/>
          </w:tcPr>
          <w:p w14:paraId="702AA948"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1116" w:type="dxa"/>
            <w:tcBorders>
              <w:top w:val="nil"/>
              <w:left w:val="nil"/>
              <w:bottom w:val="single" w:sz="4" w:space="0" w:color="000000"/>
              <w:right w:val="nil"/>
            </w:tcBorders>
            <w:shd w:val="clear" w:color="92D050" w:fill="92D050"/>
            <w:noWrap/>
            <w:vAlign w:val="bottom"/>
            <w:hideMark/>
          </w:tcPr>
          <w:p w14:paraId="2FAD1788" w14:textId="77777777" w:rsidR="00E35033" w:rsidRPr="00E35033" w:rsidRDefault="00E35033" w:rsidP="00E35033">
            <w:pPr>
              <w:spacing w:line="240" w:lineRule="auto"/>
              <w:rPr>
                <w:rFonts w:ascii="Arial" w:hAnsi="Arial" w:cs="Arial"/>
                <w:b/>
                <w:bCs/>
                <w:color w:val="000000"/>
                <w:szCs w:val="20"/>
              </w:rPr>
            </w:pPr>
            <w:r w:rsidRPr="00E35033">
              <w:rPr>
                <w:rFonts w:ascii="Arial" w:hAnsi="Arial" w:cs="Arial"/>
                <w:b/>
                <w:bCs/>
                <w:color w:val="000000"/>
                <w:szCs w:val="20"/>
              </w:rPr>
              <w:t>Omvang</w:t>
            </w:r>
          </w:p>
        </w:tc>
        <w:tc>
          <w:tcPr>
            <w:tcW w:w="976" w:type="dxa"/>
            <w:tcBorders>
              <w:top w:val="nil"/>
              <w:left w:val="nil"/>
              <w:bottom w:val="single" w:sz="4" w:space="0" w:color="000000"/>
              <w:right w:val="nil"/>
            </w:tcBorders>
            <w:shd w:val="clear" w:color="92D050" w:fill="92D050"/>
            <w:noWrap/>
            <w:vAlign w:val="bottom"/>
            <w:hideMark/>
          </w:tcPr>
          <w:p w14:paraId="1E6C974C" w14:textId="77777777" w:rsidR="00E35033" w:rsidRPr="00E35033" w:rsidRDefault="00E35033" w:rsidP="00E35033">
            <w:pPr>
              <w:spacing w:line="240" w:lineRule="auto"/>
              <w:rPr>
                <w:rFonts w:ascii="Arial" w:hAnsi="Arial" w:cs="Arial"/>
                <w:b/>
                <w:bCs/>
                <w:color w:val="000000"/>
                <w:szCs w:val="20"/>
              </w:rPr>
            </w:pPr>
            <w:r w:rsidRPr="00E35033">
              <w:rPr>
                <w:rFonts w:ascii="Arial" w:hAnsi="Arial" w:cs="Arial"/>
                <w:b/>
                <w:bCs/>
                <w:color w:val="000000"/>
                <w:szCs w:val="20"/>
              </w:rPr>
              <w:t>Eenheid</w:t>
            </w:r>
          </w:p>
        </w:tc>
        <w:tc>
          <w:tcPr>
            <w:tcW w:w="1636" w:type="dxa"/>
            <w:tcBorders>
              <w:top w:val="nil"/>
              <w:left w:val="nil"/>
              <w:bottom w:val="single" w:sz="4" w:space="0" w:color="000000"/>
              <w:right w:val="nil"/>
            </w:tcBorders>
            <w:shd w:val="clear" w:color="92D050" w:fill="92D050"/>
            <w:noWrap/>
            <w:vAlign w:val="bottom"/>
            <w:hideMark/>
          </w:tcPr>
          <w:p w14:paraId="46F4FEBF" w14:textId="77777777" w:rsidR="00E35033" w:rsidRPr="00E35033" w:rsidRDefault="00E35033" w:rsidP="00E35033">
            <w:pPr>
              <w:spacing w:line="240" w:lineRule="auto"/>
              <w:rPr>
                <w:rFonts w:ascii="Arial" w:hAnsi="Arial" w:cs="Arial"/>
                <w:b/>
                <w:bCs/>
                <w:color w:val="000000"/>
                <w:szCs w:val="20"/>
              </w:rPr>
            </w:pPr>
            <w:r w:rsidRPr="00E35033">
              <w:rPr>
                <w:rFonts w:ascii="Arial" w:hAnsi="Arial" w:cs="Arial"/>
                <w:b/>
                <w:bCs/>
                <w:color w:val="000000"/>
                <w:szCs w:val="20"/>
              </w:rPr>
              <w:t>Conversiefactor</w:t>
            </w:r>
          </w:p>
        </w:tc>
        <w:tc>
          <w:tcPr>
            <w:tcW w:w="556" w:type="dxa"/>
            <w:tcBorders>
              <w:top w:val="nil"/>
              <w:left w:val="nil"/>
              <w:bottom w:val="single" w:sz="4" w:space="0" w:color="000000"/>
              <w:right w:val="nil"/>
            </w:tcBorders>
            <w:shd w:val="clear" w:color="92D050" w:fill="92D050"/>
            <w:noWrap/>
            <w:vAlign w:val="bottom"/>
            <w:hideMark/>
          </w:tcPr>
          <w:p w14:paraId="3FDDD1CF"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single" w:sz="4" w:space="0" w:color="000000"/>
              <w:right w:val="nil"/>
            </w:tcBorders>
            <w:shd w:val="clear" w:color="92D050" w:fill="92D050"/>
            <w:noWrap/>
            <w:vAlign w:val="bottom"/>
            <w:hideMark/>
          </w:tcPr>
          <w:p w14:paraId="3BC6C5AB" w14:textId="77777777" w:rsidR="00E35033" w:rsidRPr="00E35033" w:rsidRDefault="00E35033" w:rsidP="00E35033">
            <w:pPr>
              <w:spacing w:line="240" w:lineRule="auto"/>
              <w:rPr>
                <w:rFonts w:ascii="Arial" w:hAnsi="Arial" w:cs="Arial"/>
                <w:b/>
                <w:bCs/>
                <w:color w:val="000000"/>
                <w:szCs w:val="20"/>
              </w:rPr>
            </w:pPr>
            <w:r w:rsidRPr="00E35033">
              <w:rPr>
                <w:rFonts w:ascii="Arial" w:hAnsi="Arial" w:cs="Arial"/>
                <w:b/>
                <w:bCs/>
                <w:color w:val="000000"/>
                <w:szCs w:val="20"/>
              </w:rPr>
              <w:t>Ton CO</w:t>
            </w:r>
            <w:r w:rsidRPr="00E35033">
              <w:rPr>
                <w:rFonts w:ascii="Arial" w:hAnsi="Arial" w:cs="Arial"/>
                <w:b/>
                <w:bCs/>
                <w:color w:val="000000"/>
                <w:szCs w:val="20"/>
                <w:vertAlign w:val="subscript"/>
              </w:rPr>
              <w:t>2</w:t>
            </w:r>
          </w:p>
        </w:tc>
      </w:tr>
      <w:tr w:rsidR="00E35033" w:rsidRPr="00E35033" w14:paraId="05490127" w14:textId="77777777" w:rsidTr="00E35033">
        <w:trPr>
          <w:trHeight w:val="255"/>
        </w:trPr>
        <w:tc>
          <w:tcPr>
            <w:tcW w:w="2796" w:type="dxa"/>
            <w:tcBorders>
              <w:top w:val="nil"/>
              <w:left w:val="nil"/>
              <w:bottom w:val="nil"/>
              <w:right w:val="nil"/>
            </w:tcBorders>
            <w:noWrap/>
            <w:vAlign w:val="bottom"/>
            <w:hideMark/>
          </w:tcPr>
          <w:p w14:paraId="59A2FA05"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Elektraverbruik - grijs</w:t>
            </w:r>
          </w:p>
        </w:tc>
        <w:tc>
          <w:tcPr>
            <w:tcW w:w="1216" w:type="dxa"/>
            <w:tcBorders>
              <w:top w:val="nil"/>
              <w:left w:val="nil"/>
              <w:bottom w:val="nil"/>
              <w:right w:val="nil"/>
            </w:tcBorders>
            <w:noWrap/>
            <w:vAlign w:val="bottom"/>
            <w:hideMark/>
          </w:tcPr>
          <w:p w14:paraId="5C5E668F" w14:textId="77777777" w:rsidR="00E35033" w:rsidRPr="00E35033" w:rsidRDefault="00E35033" w:rsidP="00E35033">
            <w:pPr>
              <w:spacing w:line="240" w:lineRule="auto"/>
              <w:rPr>
                <w:rFonts w:ascii="Arial" w:hAnsi="Arial" w:cs="Arial"/>
                <w:color w:val="000000"/>
                <w:szCs w:val="20"/>
              </w:rPr>
            </w:pPr>
          </w:p>
        </w:tc>
        <w:tc>
          <w:tcPr>
            <w:tcW w:w="1116" w:type="dxa"/>
            <w:tcBorders>
              <w:top w:val="nil"/>
              <w:left w:val="nil"/>
              <w:bottom w:val="nil"/>
              <w:right w:val="nil"/>
            </w:tcBorders>
            <w:noWrap/>
            <w:vAlign w:val="bottom"/>
            <w:hideMark/>
          </w:tcPr>
          <w:p w14:paraId="2C916680"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61.134</w:t>
            </w:r>
          </w:p>
        </w:tc>
        <w:tc>
          <w:tcPr>
            <w:tcW w:w="976" w:type="dxa"/>
            <w:tcBorders>
              <w:top w:val="nil"/>
              <w:left w:val="nil"/>
              <w:bottom w:val="nil"/>
              <w:right w:val="nil"/>
            </w:tcBorders>
            <w:noWrap/>
            <w:vAlign w:val="bottom"/>
            <w:hideMark/>
          </w:tcPr>
          <w:p w14:paraId="6115FB37" w14:textId="77777777" w:rsidR="00E35033" w:rsidRPr="00E35033" w:rsidRDefault="00E35033" w:rsidP="00E35033">
            <w:pPr>
              <w:spacing w:line="240" w:lineRule="auto"/>
              <w:jc w:val="center"/>
              <w:rPr>
                <w:rFonts w:cs="Calibri"/>
                <w:color w:val="000000"/>
                <w:szCs w:val="20"/>
              </w:rPr>
            </w:pPr>
            <w:r w:rsidRPr="00E35033">
              <w:rPr>
                <w:rFonts w:cs="Calibri"/>
                <w:color w:val="000000"/>
                <w:szCs w:val="20"/>
              </w:rPr>
              <w:t>kWh</w:t>
            </w:r>
          </w:p>
        </w:tc>
        <w:tc>
          <w:tcPr>
            <w:tcW w:w="1636" w:type="dxa"/>
            <w:tcBorders>
              <w:top w:val="nil"/>
              <w:left w:val="nil"/>
              <w:bottom w:val="nil"/>
              <w:right w:val="nil"/>
            </w:tcBorders>
            <w:noWrap/>
            <w:vAlign w:val="bottom"/>
            <w:hideMark/>
          </w:tcPr>
          <w:p w14:paraId="23534818"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536</w:t>
            </w:r>
          </w:p>
        </w:tc>
        <w:tc>
          <w:tcPr>
            <w:tcW w:w="556" w:type="dxa"/>
            <w:tcBorders>
              <w:top w:val="nil"/>
              <w:left w:val="nil"/>
              <w:bottom w:val="nil"/>
              <w:right w:val="nil"/>
            </w:tcBorders>
            <w:noWrap/>
            <w:vAlign w:val="bottom"/>
            <w:hideMark/>
          </w:tcPr>
          <w:p w14:paraId="4D0195C3" w14:textId="77777777" w:rsidR="00E35033" w:rsidRPr="00E35033" w:rsidRDefault="00E35033" w:rsidP="00E35033">
            <w:pPr>
              <w:spacing w:line="240" w:lineRule="auto"/>
              <w:jc w:val="center"/>
              <w:rPr>
                <w:rFonts w:ascii="Arial" w:hAnsi="Arial" w:cs="Arial"/>
                <w:color w:val="000000"/>
                <w:szCs w:val="20"/>
              </w:rPr>
            </w:pPr>
          </w:p>
        </w:tc>
        <w:tc>
          <w:tcPr>
            <w:tcW w:w="976" w:type="dxa"/>
            <w:tcBorders>
              <w:top w:val="nil"/>
              <w:left w:val="nil"/>
              <w:bottom w:val="nil"/>
              <w:right w:val="nil"/>
            </w:tcBorders>
            <w:noWrap/>
            <w:vAlign w:val="bottom"/>
            <w:hideMark/>
          </w:tcPr>
          <w:p w14:paraId="50DB39E6"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33</w:t>
            </w:r>
          </w:p>
        </w:tc>
      </w:tr>
      <w:tr w:rsidR="00E35033" w:rsidRPr="00E35033" w14:paraId="12E1AE9E" w14:textId="77777777" w:rsidTr="00E35033">
        <w:trPr>
          <w:trHeight w:val="255"/>
        </w:trPr>
        <w:tc>
          <w:tcPr>
            <w:tcW w:w="2796" w:type="dxa"/>
            <w:tcBorders>
              <w:top w:val="nil"/>
              <w:left w:val="nil"/>
              <w:bottom w:val="nil"/>
              <w:right w:val="nil"/>
            </w:tcBorders>
            <w:noWrap/>
            <w:vAlign w:val="bottom"/>
            <w:hideMark/>
          </w:tcPr>
          <w:p w14:paraId="5CBDEB6A" w14:textId="77777777" w:rsidR="00E35033" w:rsidRPr="00E35033" w:rsidRDefault="00E35033" w:rsidP="00E35033">
            <w:pPr>
              <w:spacing w:line="240" w:lineRule="auto"/>
              <w:rPr>
                <w:rFonts w:ascii="Arial" w:hAnsi="Arial" w:cs="Arial"/>
                <w:color w:val="000000"/>
                <w:szCs w:val="20"/>
              </w:rPr>
            </w:pPr>
            <w:r w:rsidRPr="00E35033">
              <w:rPr>
                <w:rFonts w:ascii="Arial" w:hAnsi="Arial" w:cs="Arial"/>
                <w:color w:val="000000"/>
                <w:szCs w:val="20"/>
              </w:rPr>
              <w:t>Elektraverbruik - groen*</w:t>
            </w:r>
          </w:p>
        </w:tc>
        <w:tc>
          <w:tcPr>
            <w:tcW w:w="1216" w:type="dxa"/>
            <w:tcBorders>
              <w:top w:val="nil"/>
              <w:left w:val="nil"/>
              <w:bottom w:val="nil"/>
              <w:right w:val="nil"/>
            </w:tcBorders>
            <w:noWrap/>
            <w:vAlign w:val="bottom"/>
            <w:hideMark/>
          </w:tcPr>
          <w:p w14:paraId="7CFD2ED3" w14:textId="77777777" w:rsidR="00E35033" w:rsidRPr="00E35033" w:rsidRDefault="00E35033" w:rsidP="00E35033">
            <w:pPr>
              <w:spacing w:line="240" w:lineRule="auto"/>
              <w:rPr>
                <w:rFonts w:ascii="Arial" w:hAnsi="Arial" w:cs="Arial"/>
                <w:color w:val="000000"/>
                <w:szCs w:val="20"/>
              </w:rPr>
            </w:pPr>
          </w:p>
        </w:tc>
        <w:tc>
          <w:tcPr>
            <w:tcW w:w="1116" w:type="dxa"/>
            <w:tcBorders>
              <w:top w:val="nil"/>
              <w:left w:val="nil"/>
              <w:bottom w:val="nil"/>
              <w:right w:val="nil"/>
            </w:tcBorders>
            <w:noWrap/>
            <w:vAlign w:val="bottom"/>
            <w:hideMark/>
          </w:tcPr>
          <w:p w14:paraId="17FA5562"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1.693</w:t>
            </w:r>
          </w:p>
        </w:tc>
        <w:tc>
          <w:tcPr>
            <w:tcW w:w="976" w:type="dxa"/>
            <w:tcBorders>
              <w:top w:val="nil"/>
              <w:left w:val="nil"/>
              <w:bottom w:val="nil"/>
              <w:right w:val="nil"/>
            </w:tcBorders>
            <w:noWrap/>
            <w:vAlign w:val="bottom"/>
            <w:hideMark/>
          </w:tcPr>
          <w:p w14:paraId="79AA4679"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kWh</w:t>
            </w:r>
          </w:p>
        </w:tc>
        <w:tc>
          <w:tcPr>
            <w:tcW w:w="1636" w:type="dxa"/>
            <w:tcBorders>
              <w:top w:val="nil"/>
              <w:left w:val="nil"/>
              <w:bottom w:val="nil"/>
              <w:right w:val="nil"/>
            </w:tcBorders>
            <w:noWrap/>
            <w:vAlign w:val="bottom"/>
            <w:hideMark/>
          </w:tcPr>
          <w:p w14:paraId="145E80CD"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0</w:t>
            </w:r>
          </w:p>
        </w:tc>
        <w:tc>
          <w:tcPr>
            <w:tcW w:w="556" w:type="dxa"/>
            <w:tcBorders>
              <w:top w:val="nil"/>
              <w:left w:val="nil"/>
              <w:bottom w:val="nil"/>
              <w:right w:val="nil"/>
            </w:tcBorders>
            <w:noWrap/>
            <w:vAlign w:val="bottom"/>
            <w:hideMark/>
          </w:tcPr>
          <w:p w14:paraId="0880013B" w14:textId="77777777" w:rsidR="00E35033" w:rsidRPr="00E35033" w:rsidRDefault="00E35033" w:rsidP="00E35033">
            <w:pPr>
              <w:spacing w:line="240" w:lineRule="auto"/>
              <w:jc w:val="center"/>
              <w:rPr>
                <w:rFonts w:ascii="Arial" w:hAnsi="Arial" w:cs="Arial"/>
                <w:color w:val="000000"/>
                <w:szCs w:val="20"/>
              </w:rPr>
            </w:pPr>
          </w:p>
        </w:tc>
        <w:tc>
          <w:tcPr>
            <w:tcW w:w="976" w:type="dxa"/>
            <w:tcBorders>
              <w:top w:val="nil"/>
              <w:left w:val="nil"/>
              <w:bottom w:val="nil"/>
              <w:right w:val="nil"/>
            </w:tcBorders>
            <w:noWrap/>
            <w:vAlign w:val="bottom"/>
            <w:hideMark/>
          </w:tcPr>
          <w:p w14:paraId="31BBF639"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0</w:t>
            </w:r>
          </w:p>
        </w:tc>
      </w:tr>
      <w:tr w:rsidR="00E35033" w:rsidRPr="00E35033" w14:paraId="4BD580B7" w14:textId="77777777" w:rsidTr="00E35033">
        <w:trPr>
          <w:trHeight w:val="255"/>
        </w:trPr>
        <w:tc>
          <w:tcPr>
            <w:tcW w:w="4012" w:type="dxa"/>
            <w:gridSpan w:val="2"/>
            <w:tcBorders>
              <w:top w:val="nil"/>
              <w:left w:val="nil"/>
              <w:bottom w:val="nil"/>
              <w:right w:val="nil"/>
            </w:tcBorders>
            <w:noWrap/>
            <w:vAlign w:val="bottom"/>
            <w:hideMark/>
          </w:tcPr>
          <w:p w14:paraId="76F4A8EE" w14:textId="7C313533" w:rsidR="00E35033" w:rsidRPr="00E35033" w:rsidRDefault="00BA553B" w:rsidP="00E35033">
            <w:pPr>
              <w:spacing w:line="240" w:lineRule="auto"/>
              <w:rPr>
                <w:rFonts w:cs="Calibri"/>
                <w:color w:val="000000"/>
                <w:szCs w:val="20"/>
              </w:rPr>
            </w:pPr>
            <w:r>
              <w:rPr>
                <w:rFonts w:cs="Calibri"/>
                <w:color w:val="000000"/>
                <w:szCs w:val="20"/>
              </w:rPr>
              <w:t>Elektraverbruik leaseauto’s</w:t>
            </w:r>
          </w:p>
        </w:tc>
        <w:tc>
          <w:tcPr>
            <w:tcW w:w="1116" w:type="dxa"/>
            <w:tcBorders>
              <w:top w:val="nil"/>
              <w:left w:val="nil"/>
              <w:bottom w:val="nil"/>
              <w:right w:val="nil"/>
            </w:tcBorders>
            <w:noWrap/>
            <w:vAlign w:val="bottom"/>
            <w:hideMark/>
          </w:tcPr>
          <w:p w14:paraId="2301A1E2"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22.474</w:t>
            </w:r>
          </w:p>
        </w:tc>
        <w:tc>
          <w:tcPr>
            <w:tcW w:w="976" w:type="dxa"/>
            <w:tcBorders>
              <w:top w:val="nil"/>
              <w:left w:val="nil"/>
              <w:bottom w:val="nil"/>
              <w:right w:val="nil"/>
            </w:tcBorders>
            <w:noWrap/>
            <w:vAlign w:val="bottom"/>
            <w:hideMark/>
          </w:tcPr>
          <w:p w14:paraId="10AC127A" w14:textId="1D915A3F" w:rsidR="00E35033" w:rsidRPr="00E35033" w:rsidRDefault="00BA553B" w:rsidP="00E35033">
            <w:pPr>
              <w:spacing w:line="240" w:lineRule="auto"/>
              <w:jc w:val="center"/>
              <w:rPr>
                <w:rFonts w:cs="Calibri"/>
                <w:color w:val="000000"/>
                <w:szCs w:val="20"/>
              </w:rPr>
            </w:pPr>
            <w:r>
              <w:rPr>
                <w:rFonts w:cs="Calibri"/>
                <w:color w:val="000000"/>
                <w:szCs w:val="20"/>
              </w:rPr>
              <w:t>kWh</w:t>
            </w:r>
          </w:p>
        </w:tc>
        <w:tc>
          <w:tcPr>
            <w:tcW w:w="1636" w:type="dxa"/>
            <w:tcBorders>
              <w:top w:val="nil"/>
              <w:left w:val="nil"/>
              <w:bottom w:val="nil"/>
              <w:right w:val="nil"/>
            </w:tcBorders>
            <w:noWrap/>
            <w:vAlign w:val="bottom"/>
            <w:hideMark/>
          </w:tcPr>
          <w:p w14:paraId="344D8EB7" w14:textId="68CF2DFE" w:rsidR="00E35033" w:rsidRPr="00E35033" w:rsidRDefault="00BA553B" w:rsidP="00E35033">
            <w:pPr>
              <w:spacing w:line="240" w:lineRule="auto"/>
              <w:jc w:val="center"/>
              <w:rPr>
                <w:rFonts w:ascii="Arial" w:hAnsi="Arial" w:cs="Arial"/>
                <w:color w:val="000000"/>
                <w:szCs w:val="20"/>
              </w:rPr>
            </w:pPr>
            <w:r>
              <w:rPr>
                <w:rFonts w:ascii="Arial" w:hAnsi="Arial" w:cs="Arial"/>
                <w:color w:val="000000"/>
                <w:szCs w:val="20"/>
              </w:rPr>
              <w:t>536</w:t>
            </w:r>
          </w:p>
        </w:tc>
        <w:tc>
          <w:tcPr>
            <w:tcW w:w="556" w:type="dxa"/>
            <w:tcBorders>
              <w:top w:val="nil"/>
              <w:left w:val="nil"/>
              <w:bottom w:val="nil"/>
              <w:right w:val="nil"/>
            </w:tcBorders>
            <w:noWrap/>
            <w:vAlign w:val="bottom"/>
            <w:hideMark/>
          </w:tcPr>
          <w:p w14:paraId="1E68C565" w14:textId="77777777" w:rsidR="00E35033" w:rsidRPr="00E35033" w:rsidRDefault="00E35033" w:rsidP="00E35033">
            <w:pPr>
              <w:spacing w:line="240" w:lineRule="auto"/>
              <w:jc w:val="center"/>
              <w:rPr>
                <w:rFonts w:ascii="Arial" w:hAnsi="Arial" w:cs="Arial"/>
                <w:color w:val="000000"/>
                <w:szCs w:val="20"/>
              </w:rPr>
            </w:pPr>
          </w:p>
        </w:tc>
        <w:tc>
          <w:tcPr>
            <w:tcW w:w="976" w:type="dxa"/>
            <w:tcBorders>
              <w:top w:val="nil"/>
              <w:left w:val="nil"/>
              <w:bottom w:val="nil"/>
              <w:right w:val="nil"/>
            </w:tcBorders>
            <w:noWrap/>
            <w:vAlign w:val="bottom"/>
            <w:hideMark/>
          </w:tcPr>
          <w:p w14:paraId="34696F09" w14:textId="68FD03FF" w:rsidR="00E35033" w:rsidRPr="00E35033" w:rsidRDefault="00D5654C" w:rsidP="00E35033">
            <w:pPr>
              <w:spacing w:line="240" w:lineRule="auto"/>
              <w:jc w:val="center"/>
              <w:rPr>
                <w:rFonts w:ascii="Arial" w:hAnsi="Arial" w:cs="Arial"/>
                <w:color w:val="000000"/>
                <w:szCs w:val="20"/>
              </w:rPr>
            </w:pPr>
            <w:r>
              <w:rPr>
                <w:rFonts w:ascii="Arial" w:hAnsi="Arial" w:cs="Arial"/>
                <w:color w:val="000000"/>
                <w:szCs w:val="20"/>
              </w:rPr>
              <w:t>12</w:t>
            </w:r>
          </w:p>
        </w:tc>
      </w:tr>
      <w:tr w:rsidR="00E35033" w:rsidRPr="00E35033" w14:paraId="646E2F3D" w14:textId="77777777" w:rsidTr="00E35033">
        <w:trPr>
          <w:trHeight w:val="255"/>
        </w:trPr>
        <w:tc>
          <w:tcPr>
            <w:tcW w:w="4012" w:type="dxa"/>
            <w:gridSpan w:val="2"/>
            <w:tcBorders>
              <w:top w:val="nil"/>
              <w:left w:val="nil"/>
              <w:bottom w:val="nil"/>
              <w:right w:val="nil"/>
            </w:tcBorders>
            <w:noWrap/>
            <w:vAlign w:val="bottom"/>
            <w:hideMark/>
          </w:tcPr>
          <w:p w14:paraId="58B7BB27" w14:textId="77777777" w:rsidR="00E35033" w:rsidRPr="00E35033" w:rsidRDefault="00E35033" w:rsidP="00E35033">
            <w:pPr>
              <w:spacing w:line="240" w:lineRule="auto"/>
              <w:rPr>
                <w:rFonts w:cs="Calibri"/>
                <w:color w:val="000000"/>
                <w:szCs w:val="20"/>
              </w:rPr>
            </w:pPr>
            <w:r w:rsidRPr="00E35033">
              <w:rPr>
                <w:rFonts w:cs="Calibri"/>
                <w:color w:val="000000"/>
                <w:szCs w:val="20"/>
              </w:rPr>
              <w:t>Zakelijke km priveauto's (benzine)</w:t>
            </w:r>
          </w:p>
        </w:tc>
        <w:tc>
          <w:tcPr>
            <w:tcW w:w="1116" w:type="dxa"/>
            <w:tcBorders>
              <w:top w:val="nil"/>
              <w:left w:val="nil"/>
              <w:bottom w:val="nil"/>
              <w:right w:val="nil"/>
            </w:tcBorders>
            <w:noWrap/>
            <w:vAlign w:val="bottom"/>
            <w:hideMark/>
          </w:tcPr>
          <w:p w14:paraId="1B93BCBC"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22.046</w:t>
            </w:r>
          </w:p>
        </w:tc>
        <w:tc>
          <w:tcPr>
            <w:tcW w:w="976" w:type="dxa"/>
            <w:tcBorders>
              <w:top w:val="nil"/>
              <w:left w:val="nil"/>
              <w:bottom w:val="nil"/>
              <w:right w:val="nil"/>
            </w:tcBorders>
            <w:noWrap/>
            <w:vAlign w:val="bottom"/>
            <w:hideMark/>
          </w:tcPr>
          <w:p w14:paraId="0DBC2B8D" w14:textId="77777777" w:rsidR="00E35033" w:rsidRPr="00E35033" w:rsidRDefault="00E35033" w:rsidP="00E35033">
            <w:pPr>
              <w:spacing w:line="240" w:lineRule="auto"/>
              <w:jc w:val="center"/>
              <w:rPr>
                <w:rFonts w:cs="Calibri"/>
                <w:color w:val="000000"/>
                <w:szCs w:val="20"/>
              </w:rPr>
            </w:pPr>
            <w:r w:rsidRPr="00E35033">
              <w:rPr>
                <w:rFonts w:cs="Calibri"/>
                <w:color w:val="000000"/>
                <w:szCs w:val="20"/>
              </w:rPr>
              <w:t>km's</w:t>
            </w:r>
          </w:p>
        </w:tc>
        <w:tc>
          <w:tcPr>
            <w:tcW w:w="1636" w:type="dxa"/>
            <w:tcBorders>
              <w:top w:val="nil"/>
              <w:left w:val="nil"/>
              <w:bottom w:val="nil"/>
              <w:right w:val="nil"/>
            </w:tcBorders>
            <w:noWrap/>
            <w:vAlign w:val="bottom"/>
            <w:hideMark/>
          </w:tcPr>
          <w:p w14:paraId="06DF7CFE"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204</w:t>
            </w:r>
          </w:p>
        </w:tc>
        <w:tc>
          <w:tcPr>
            <w:tcW w:w="556" w:type="dxa"/>
            <w:tcBorders>
              <w:top w:val="nil"/>
              <w:left w:val="nil"/>
              <w:bottom w:val="nil"/>
              <w:right w:val="nil"/>
            </w:tcBorders>
            <w:noWrap/>
            <w:vAlign w:val="bottom"/>
            <w:hideMark/>
          </w:tcPr>
          <w:p w14:paraId="46CADBAA" w14:textId="77777777" w:rsidR="00E35033" w:rsidRPr="00E35033" w:rsidRDefault="00E35033" w:rsidP="00E35033">
            <w:pPr>
              <w:spacing w:line="240" w:lineRule="auto"/>
              <w:jc w:val="center"/>
              <w:rPr>
                <w:rFonts w:ascii="Arial" w:hAnsi="Arial" w:cs="Arial"/>
                <w:color w:val="000000"/>
                <w:szCs w:val="20"/>
              </w:rPr>
            </w:pPr>
          </w:p>
        </w:tc>
        <w:tc>
          <w:tcPr>
            <w:tcW w:w="976" w:type="dxa"/>
            <w:tcBorders>
              <w:top w:val="nil"/>
              <w:left w:val="nil"/>
              <w:bottom w:val="nil"/>
              <w:right w:val="nil"/>
            </w:tcBorders>
            <w:noWrap/>
            <w:vAlign w:val="bottom"/>
            <w:hideMark/>
          </w:tcPr>
          <w:p w14:paraId="6F59D5DB"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4</w:t>
            </w:r>
          </w:p>
        </w:tc>
      </w:tr>
      <w:tr w:rsidR="00E35033" w:rsidRPr="00E35033" w14:paraId="7DD1C3F4" w14:textId="77777777" w:rsidTr="00E35033">
        <w:trPr>
          <w:trHeight w:val="255"/>
        </w:trPr>
        <w:tc>
          <w:tcPr>
            <w:tcW w:w="4012" w:type="dxa"/>
            <w:gridSpan w:val="2"/>
            <w:tcBorders>
              <w:top w:val="nil"/>
              <w:left w:val="nil"/>
              <w:bottom w:val="nil"/>
              <w:right w:val="nil"/>
            </w:tcBorders>
            <w:noWrap/>
            <w:vAlign w:val="bottom"/>
            <w:hideMark/>
          </w:tcPr>
          <w:p w14:paraId="72171A96" w14:textId="77777777" w:rsidR="00E35033" w:rsidRPr="00E35033" w:rsidRDefault="00E35033" w:rsidP="00E35033">
            <w:pPr>
              <w:spacing w:line="240" w:lineRule="auto"/>
              <w:rPr>
                <w:rFonts w:cs="Calibri"/>
                <w:color w:val="000000"/>
                <w:szCs w:val="20"/>
              </w:rPr>
            </w:pPr>
            <w:r w:rsidRPr="00E35033">
              <w:rPr>
                <w:rFonts w:cs="Calibri"/>
                <w:color w:val="000000"/>
                <w:szCs w:val="20"/>
              </w:rPr>
              <w:t>Brandstofverbruik huur (benzine)</w:t>
            </w:r>
          </w:p>
        </w:tc>
        <w:tc>
          <w:tcPr>
            <w:tcW w:w="1116" w:type="dxa"/>
            <w:tcBorders>
              <w:top w:val="nil"/>
              <w:left w:val="nil"/>
              <w:bottom w:val="nil"/>
              <w:right w:val="nil"/>
            </w:tcBorders>
            <w:noWrap/>
            <w:vAlign w:val="bottom"/>
            <w:hideMark/>
          </w:tcPr>
          <w:p w14:paraId="7B63EE1D"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98</w:t>
            </w:r>
          </w:p>
        </w:tc>
        <w:tc>
          <w:tcPr>
            <w:tcW w:w="976" w:type="dxa"/>
            <w:tcBorders>
              <w:top w:val="nil"/>
              <w:left w:val="nil"/>
              <w:bottom w:val="nil"/>
              <w:right w:val="nil"/>
            </w:tcBorders>
            <w:noWrap/>
            <w:vAlign w:val="bottom"/>
            <w:hideMark/>
          </w:tcPr>
          <w:p w14:paraId="43B2D807" w14:textId="77777777" w:rsidR="00E35033" w:rsidRPr="00E35033" w:rsidRDefault="00E35033" w:rsidP="00E35033">
            <w:pPr>
              <w:spacing w:line="240" w:lineRule="auto"/>
              <w:jc w:val="center"/>
              <w:rPr>
                <w:rFonts w:cs="Calibri"/>
                <w:color w:val="000000"/>
                <w:szCs w:val="20"/>
              </w:rPr>
            </w:pPr>
            <w:r w:rsidRPr="00E35033">
              <w:rPr>
                <w:rFonts w:cs="Calibri"/>
                <w:color w:val="000000"/>
                <w:szCs w:val="20"/>
              </w:rPr>
              <w:t>liters</w:t>
            </w:r>
          </w:p>
        </w:tc>
        <w:tc>
          <w:tcPr>
            <w:tcW w:w="1636" w:type="dxa"/>
            <w:tcBorders>
              <w:top w:val="nil"/>
              <w:left w:val="nil"/>
              <w:bottom w:val="nil"/>
              <w:right w:val="nil"/>
            </w:tcBorders>
            <w:noWrap/>
            <w:vAlign w:val="bottom"/>
            <w:hideMark/>
          </w:tcPr>
          <w:p w14:paraId="3F166A5F"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2.821</w:t>
            </w:r>
          </w:p>
        </w:tc>
        <w:tc>
          <w:tcPr>
            <w:tcW w:w="556" w:type="dxa"/>
            <w:tcBorders>
              <w:top w:val="nil"/>
              <w:left w:val="nil"/>
              <w:bottom w:val="nil"/>
              <w:right w:val="nil"/>
            </w:tcBorders>
            <w:noWrap/>
            <w:vAlign w:val="bottom"/>
            <w:hideMark/>
          </w:tcPr>
          <w:p w14:paraId="59FB9294" w14:textId="77777777" w:rsidR="00E35033" w:rsidRPr="00E35033" w:rsidRDefault="00E35033" w:rsidP="00E35033">
            <w:pPr>
              <w:spacing w:line="240" w:lineRule="auto"/>
              <w:jc w:val="center"/>
              <w:rPr>
                <w:rFonts w:ascii="Arial" w:hAnsi="Arial" w:cs="Arial"/>
                <w:color w:val="000000"/>
                <w:szCs w:val="20"/>
              </w:rPr>
            </w:pPr>
          </w:p>
        </w:tc>
        <w:tc>
          <w:tcPr>
            <w:tcW w:w="976" w:type="dxa"/>
            <w:tcBorders>
              <w:top w:val="nil"/>
              <w:left w:val="nil"/>
              <w:bottom w:val="nil"/>
              <w:right w:val="nil"/>
            </w:tcBorders>
            <w:noWrap/>
            <w:vAlign w:val="bottom"/>
            <w:hideMark/>
          </w:tcPr>
          <w:p w14:paraId="23333054"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0</w:t>
            </w:r>
          </w:p>
        </w:tc>
      </w:tr>
      <w:tr w:rsidR="00E35033" w:rsidRPr="00E35033" w14:paraId="618C4AB5" w14:textId="77777777" w:rsidTr="00E35033">
        <w:trPr>
          <w:trHeight w:val="255"/>
        </w:trPr>
        <w:tc>
          <w:tcPr>
            <w:tcW w:w="2796" w:type="dxa"/>
            <w:tcBorders>
              <w:top w:val="nil"/>
              <w:left w:val="nil"/>
              <w:bottom w:val="nil"/>
              <w:right w:val="nil"/>
            </w:tcBorders>
            <w:noWrap/>
            <w:vAlign w:val="bottom"/>
            <w:hideMark/>
          </w:tcPr>
          <w:p w14:paraId="735765BE" w14:textId="77777777" w:rsidR="00E35033" w:rsidRPr="00E35033" w:rsidRDefault="00E35033" w:rsidP="00E35033">
            <w:pPr>
              <w:spacing w:line="240" w:lineRule="auto"/>
              <w:rPr>
                <w:rFonts w:cs="Calibri"/>
                <w:color w:val="000000"/>
                <w:szCs w:val="20"/>
              </w:rPr>
            </w:pPr>
            <w:r w:rsidRPr="00E35033">
              <w:rPr>
                <w:rFonts w:cs="Calibri"/>
                <w:color w:val="000000"/>
                <w:szCs w:val="20"/>
              </w:rPr>
              <w:t>Vliegreizen &lt; 700</w:t>
            </w:r>
          </w:p>
        </w:tc>
        <w:tc>
          <w:tcPr>
            <w:tcW w:w="1216" w:type="dxa"/>
            <w:tcBorders>
              <w:top w:val="nil"/>
              <w:left w:val="nil"/>
              <w:bottom w:val="nil"/>
              <w:right w:val="nil"/>
            </w:tcBorders>
            <w:noWrap/>
            <w:vAlign w:val="bottom"/>
            <w:hideMark/>
          </w:tcPr>
          <w:p w14:paraId="7AE71ED5" w14:textId="77777777" w:rsidR="00E35033" w:rsidRPr="00E35033" w:rsidRDefault="00E35033" w:rsidP="00E35033">
            <w:pPr>
              <w:spacing w:line="240" w:lineRule="auto"/>
              <w:rPr>
                <w:rFonts w:cs="Calibri"/>
                <w:color w:val="000000"/>
                <w:szCs w:val="20"/>
              </w:rPr>
            </w:pPr>
          </w:p>
        </w:tc>
        <w:tc>
          <w:tcPr>
            <w:tcW w:w="1116" w:type="dxa"/>
            <w:tcBorders>
              <w:top w:val="nil"/>
              <w:left w:val="nil"/>
              <w:bottom w:val="nil"/>
              <w:right w:val="nil"/>
            </w:tcBorders>
            <w:noWrap/>
            <w:vAlign w:val="bottom"/>
            <w:hideMark/>
          </w:tcPr>
          <w:p w14:paraId="0F96D87A"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620</w:t>
            </w:r>
          </w:p>
        </w:tc>
        <w:tc>
          <w:tcPr>
            <w:tcW w:w="976" w:type="dxa"/>
            <w:tcBorders>
              <w:top w:val="nil"/>
              <w:left w:val="nil"/>
              <w:bottom w:val="nil"/>
              <w:right w:val="nil"/>
            </w:tcBorders>
            <w:noWrap/>
            <w:vAlign w:val="bottom"/>
            <w:hideMark/>
          </w:tcPr>
          <w:p w14:paraId="28FB86FB" w14:textId="77777777" w:rsidR="00E35033" w:rsidRPr="00E35033" w:rsidRDefault="00E35033" w:rsidP="00E35033">
            <w:pPr>
              <w:spacing w:line="240" w:lineRule="auto"/>
              <w:jc w:val="center"/>
              <w:rPr>
                <w:rFonts w:cs="Calibri"/>
                <w:color w:val="000000"/>
                <w:szCs w:val="20"/>
              </w:rPr>
            </w:pPr>
            <w:r w:rsidRPr="00E35033">
              <w:rPr>
                <w:rFonts w:cs="Calibri"/>
                <w:color w:val="000000"/>
                <w:szCs w:val="20"/>
              </w:rPr>
              <w:t>km's</w:t>
            </w:r>
          </w:p>
        </w:tc>
        <w:tc>
          <w:tcPr>
            <w:tcW w:w="1636" w:type="dxa"/>
            <w:tcBorders>
              <w:top w:val="nil"/>
              <w:left w:val="nil"/>
              <w:bottom w:val="nil"/>
              <w:right w:val="nil"/>
            </w:tcBorders>
            <w:noWrap/>
            <w:vAlign w:val="bottom"/>
            <w:hideMark/>
          </w:tcPr>
          <w:p w14:paraId="547609AC"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234</w:t>
            </w:r>
          </w:p>
        </w:tc>
        <w:tc>
          <w:tcPr>
            <w:tcW w:w="556" w:type="dxa"/>
            <w:tcBorders>
              <w:top w:val="nil"/>
              <w:left w:val="nil"/>
              <w:bottom w:val="nil"/>
              <w:right w:val="nil"/>
            </w:tcBorders>
            <w:noWrap/>
            <w:vAlign w:val="bottom"/>
            <w:hideMark/>
          </w:tcPr>
          <w:p w14:paraId="4F5DF80E" w14:textId="77777777" w:rsidR="00E35033" w:rsidRPr="00E35033" w:rsidRDefault="00E35033" w:rsidP="00E35033">
            <w:pPr>
              <w:spacing w:line="240" w:lineRule="auto"/>
              <w:jc w:val="center"/>
              <w:rPr>
                <w:rFonts w:ascii="Arial" w:hAnsi="Arial" w:cs="Arial"/>
                <w:color w:val="000000"/>
                <w:szCs w:val="20"/>
              </w:rPr>
            </w:pPr>
          </w:p>
        </w:tc>
        <w:tc>
          <w:tcPr>
            <w:tcW w:w="976" w:type="dxa"/>
            <w:tcBorders>
              <w:top w:val="nil"/>
              <w:left w:val="nil"/>
              <w:bottom w:val="nil"/>
              <w:right w:val="nil"/>
            </w:tcBorders>
            <w:noWrap/>
            <w:vAlign w:val="bottom"/>
            <w:hideMark/>
          </w:tcPr>
          <w:p w14:paraId="6302127E"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0</w:t>
            </w:r>
          </w:p>
        </w:tc>
      </w:tr>
      <w:tr w:rsidR="00E35033" w:rsidRPr="00E35033" w14:paraId="548D5E9E" w14:textId="77777777" w:rsidTr="00E35033">
        <w:trPr>
          <w:trHeight w:val="255"/>
        </w:trPr>
        <w:tc>
          <w:tcPr>
            <w:tcW w:w="2796" w:type="dxa"/>
            <w:tcBorders>
              <w:top w:val="nil"/>
              <w:left w:val="nil"/>
              <w:bottom w:val="nil"/>
              <w:right w:val="nil"/>
            </w:tcBorders>
            <w:noWrap/>
            <w:vAlign w:val="bottom"/>
            <w:hideMark/>
          </w:tcPr>
          <w:p w14:paraId="5E1AE0E9" w14:textId="77777777" w:rsidR="00E35033" w:rsidRPr="00E35033" w:rsidRDefault="00E35033" w:rsidP="00E35033">
            <w:pPr>
              <w:spacing w:line="240" w:lineRule="auto"/>
              <w:rPr>
                <w:rFonts w:cs="Calibri"/>
                <w:color w:val="000000"/>
                <w:szCs w:val="20"/>
              </w:rPr>
            </w:pPr>
            <w:r w:rsidRPr="00E35033">
              <w:rPr>
                <w:rFonts w:cs="Calibri"/>
                <w:color w:val="000000"/>
                <w:szCs w:val="20"/>
              </w:rPr>
              <w:t>Vliegreizen 700 - 2500</w:t>
            </w:r>
          </w:p>
        </w:tc>
        <w:tc>
          <w:tcPr>
            <w:tcW w:w="1216" w:type="dxa"/>
            <w:tcBorders>
              <w:top w:val="nil"/>
              <w:left w:val="nil"/>
              <w:bottom w:val="nil"/>
              <w:right w:val="nil"/>
            </w:tcBorders>
            <w:noWrap/>
            <w:vAlign w:val="bottom"/>
            <w:hideMark/>
          </w:tcPr>
          <w:p w14:paraId="48333EB5" w14:textId="77777777" w:rsidR="00E35033" w:rsidRPr="00E35033" w:rsidRDefault="00E35033" w:rsidP="00E35033">
            <w:pPr>
              <w:spacing w:line="240" w:lineRule="auto"/>
              <w:rPr>
                <w:rFonts w:cs="Calibri"/>
                <w:color w:val="000000"/>
                <w:szCs w:val="20"/>
              </w:rPr>
            </w:pPr>
          </w:p>
        </w:tc>
        <w:tc>
          <w:tcPr>
            <w:tcW w:w="1116" w:type="dxa"/>
            <w:tcBorders>
              <w:top w:val="nil"/>
              <w:left w:val="nil"/>
              <w:bottom w:val="nil"/>
              <w:right w:val="nil"/>
            </w:tcBorders>
            <w:noWrap/>
            <w:vAlign w:val="bottom"/>
            <w:hideMark/>
          </w:tcPr>
          <w:p w14:paraId="70F98D74"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0</w:t>
            </w:r>
          </w:p>
        </w:tc>
        <w:tc>
          <w:tcPr>
            <w:tcW w:w="976" w:type="dxa"/>
            <w:tcBorders>
              <w:top w:val="nil"/>
              <w:left w:val="nil"/>
              <w:bottom w:val="nil"/>
              <w:right w:val="nil"/>
            </w:tcBorders>
            <w:noWrap/>
            <w:vAlign w:val="bottom"/>
            <w:hideMark/>
          </w:tcPr>
          <w:p w14:paraId="30B483F7" w14:textId="77777777" w:rsidR="00E35033" w:rsidRPr="00E35033" w:rsidRDefault="00E35033" w:rsidP="00E35033">
            <w:pPr>
              <w:spacing w:line="240" w:lineRule="auto"/>
              <w:jc w:val="center"/>
              <w:rPr>
                <w:rFonts w:cs="Calibri"/>
                <w:color w:val="000000"/>
                <w:szCs w:val="20"/>
              </w:rPr>
            </w:pPr>
            <w:r w:rsidRPr="00E35033">
              <w:rPr>
                <w:rFonts w:cs="Calibri"/>
                <w:color w:val="000000"/>
                <w:szCs w:val="20"/>
              </w:rPr>
              <w:t>km's</w:t>
            </w:r>
          </w:p>
        </w:tc>
        <w:tc>
          <w:tcPr>
            <w:tcW w:w="1636" w:type="dxa"/>
            <w:tcBorders>
              <w:top w:val="nil"/>
              <w:left w:val="nil"/>
              <w:bottom w:val="nil"/>
              <w:right w:val="nil"/>
            </w:tcBorders>
            <w:noWrap/>
            <w:vAlign w:val="bottom"/>
            <w:hideMark/>
          </w:tcPr>
          <w:p w14:paraId="18377911"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172</w:t>
            </w:r>
          </w:p>
        </w:tc>
        <w:tc>
          <w:tcPr>
            <w:tcW w:w="556" w:type="dxa"/>
            <w:tcBorders>
              <w:top w:val="nil"/>
              <w:left w:val="nil"/>
              <w:bottom w:val="nil"/>
              <w:right w:val="nil"/>
            </w:tcBorders>
            <w:noWrap/>
            <w:vAlign w:val="bottom"/>
            <w:hideMark/>
          </w:tcPr>
          <w:p w14:paraId="232C4EF4" w14:textId="77777777" w:rsidR="00E35033" w:rsidRPr="00E35033" w:rsidRDefault="00E35033" w:rsidP="00E35033">
            <w:pPr>
              <w:spacing w:line="240" w:lineRule="auto"/>
              <w:jc w:val="center"/>
              <w:rPr>
                <w:rFonts w:ascii="Arial" w:hAnsi="Arial" w:cs="Arial"/>
                <w:color w:val="000000"/>
                <w:szCs w:val="20"/>
              </w:rPr>
            </w:pPr>
          </w:p>
        </w:tc>
        <w:tc>
          <w:tcPr>
            <w:tcW w:w="976" w:type="dxa"/>
            <w:tcBorders>
              <w:top w:val="nil"/>
              <w:left w:val="nil"/>
              <w:bottom w:val="nil"/>
              <w:right w:val="nil"/>
            </w:tcBorders>
            <w:noWrap/>
            <w:vAlign w:val="bottom"/>
            <w:hideMark/>
          </w:tcPr>
          <w:p w14:paraId="75DDAEF2"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0</w:t>
            </w:r>
          </w:p>
        </w:tc>
      </w:tr>
      <w:tr w:rsidR="00E35033" w:rsidRPr="00E35033" w14:paraId="234E717E" w14:textId="77777777" w:rsidTr="00E35033">
        <w:trPr>
          <w:trHeight w:val="255"/>
        </w:trPr>
        <w:tc>
          <w:tcPr>
            <w:tcW w:w="2796" w:type="dxa"/>
            <w:tcBorders>
              <w:top w:val="nil"/>
              <w:left w:val="nil"/>
              <w:bottom w:val="nil"/>
              <w:right w:val="nil"/>
            </w:tcBorders>
            <w:noWrap/>
            <w:vAlign w:val="bottom"/>
            <w:hideMark/>
          </w:tcPr>
          <w:p w14:paraId="4E73B208" w14:textId="77777777" w:rsidR="00E35033" w:rsidRPr="00E35033" w:rsidRDefault="00E35033" w:rsidP="00E35033">
            <w:pPr>
              <w:spacing w:line="240" w:lineRule="auto"/>
              <w:rPr>
                <w:rFonts w:cs="Calibri"/>
                <w:color w:val="000000"/>
                <w:szCs w:val="20"/>
              </w:rPr>
            </w:pPr>
            <w:r w:rsidRPr="00E35033">
              <w:rPr>
                <w:rFonts w:cs="Calibri"/>
                <w:color w:val="000000"/>
                <w:szCs w:val="20"/>
              </w:rPr>
              <w:t xml:space="preserve">Vliegreizen &gt; 2500 </w:t>
            </w:r>
          </w:p>
        </w:tc>
        <w:tc>
          <w:tcPr>
            <w:tcW w:w="1216" w:type="dxa"/>
            <w:tcBorders>
              <w:top w:val="nil"/>
              <w:left w:val="nil"/>
              <w:bottom w:val="nil"/>
              <w:right w:val="nil"/>
            </w:tcBorders>
            <w:noWrap/>
            <w:vAlign w:val="bottom"/>
            <w:hideMark/>
          </w:tcPr>
          <w:p w14:paraId="4781C68E" w14:textId="77777777" w:rsidR="00E35033" w:rsidRPr="00E35033" w:rsidRDefault="00E35033" w:rsidP="00E35033">
            <w:pPr>
              <w:spacing w:line="240" w:lineRule="auto"/>
              <w:rPr>
                <w:rFonts w:cs="Calibri"/>
                <w:color w:val="000000"/>
                <w:szCs w:val="20"/>
              </w:rPr>
            </w:pPr>
          </w:p>
        </w:tc>
        <w:tc>
          <w:tcPr>
            <w:tcW w:w="1116" w:type="dxa"/>
            <w:tcBorders>
              <w:top w:val="nil"/>
              <w:left w:val="nil"/>
              <w:bottom w:val="nil"/>
              <w:right w:val="nil"/>
            </w:tcBorders>
            <w:noWrap/>
            <w:vAlign w:val="bottom"/>
            <w:hideMark/>
          </w:tcPr>
          <w:p w14:paraId="58AB13C5" w14:textId="77777777" w:rsidR="00E35033" w:rsidRPr="00E35033" w:rsidRDefault="00E35033" w:rsidP="00E35033">
            <w:pPr>
              <w:spacing w:line="240" w:lineRule="auto"/>
              <w:jc w:val="center"/>
              <w:rPr>
                <w:rFonts w:ascii="Arial" w:hAnsi="Arial" w:cs="Arial"/>
                <w:color w:val="auto"/>
                <w:szCs w:val="20"/>
              </w:rPr>
            </w:pPr>
            <w:r w:rsidRPr="00E35033">
              <w:rPr>
                <w:rFonts w:ascii="Arial" w:hAnsi="Arial" w:cs="Arial"/>
                <w:color w:val="auto"/>
                <w:szCs w:val="20"/>
              </w:rPr>
              <w:t>0</w:t>
            </w:r>
          </w:p>
        </w:tc>
        <w:tc>
          <w:tcPr>
            <w:tcW w:w="976" w:type="dxa"/>
            <w:tcBorders>
              <w:top w:val="nil"/>
              <w:left w:val="nil"/>
              <w:bottom w:val="nil"/>
              <w:right w:val="nil"/>
            </w:tcBorders>
            <w:noWrap/>
            <w:vAlign w:val="bottom"/>
            <w:hideMark/>
          </w:tcPr>
          <w:p w14:paraId="362252C5" w14:textId="77777777" w:rsidR="00E35033" w:rsidRPr="00E35033" w:rsidRDefault="00E35033" w:rsidP="00E35033">
            <w:pPr>
              <w:spacing w:line="240" w:lineRule="auto"/>
              <w:jc w:val="center"/>
              <w:rPr>
                <w:rFonts w:cs="Calibri"/>
                <w:color w:val="000000"/>
                <w:szCs w:val="20"/>
              </w:rPr>
            </w:pPr>
            <w:r w:rsidRPr="00E35033">
              <w:rPr>
                <w:rFonts w:cs="Calibri"/>
                <w:color w:val="000000"/>
                <w:szCs w:val="20"/>
              </w:rPr>
              <w:t>km's</w:t>
            </w:r>
          </w:p>
        </w:tc>
        <w:tc>
          <w:tcPr>
            <w:tcW w:w="1636" w:type="dxa"/>
            <w:tcBorders>
              <w:top w:val="nil"/>
              <w:left w:val="nil"/>
              <w:bottom w:val="nil"/>
              <w:right w:val="nil"/>
            </w:tcBorders>
            <w:noWrap/>
            <w:vAlign w:val="bottom"/>
            <w:hideMark/>
          </w:tcPr>
          <w:p w14:paraId="5DCE201D"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157</w:t>
            </w:r>
          </w:p>
        </w:tc>
        <w:tc>
          <w:tcPr>
            <w:tcW w:w="556" w:type="dxa"/>
            <w:tcBorders>
              <w:top w:val="nil"/>
              <w:left w:val="nil"/>
              <w:bottom w:val="single" w:sz="8" w:space="0" w:color="000000"/>
              <w:right w:val="nil"/>
            </w:tcBorders>
            <w:noWrap/>
            <w:vAlign w:val="bottom"/>
            <w:hideMark/>
          </w:tcPr>
          <w:p w14:paraId="47B2DC7D"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 </w:t>
            </w:r>
          </w:p>
        </w:tc>
        <w:tc>
          <w:tcPr>
            <w:tcW w:w="976" w:type="dxa"/>
            <w:tcBorders>
              <w:top w:val="nil"/>
              <w:left w:val="nil"/>
              <w:bottom w:val="single" w:sz="8" w:space="0" w:color="000000"/>
              <w:right w:val="nil"/>
            </w:tcBorders>
            <w:noWrap/>
            <w:vAlign w:val="bottom"/>
            <w:hideMark/>
          </w:tcPr>
          <w:p w14:paraId="33C18D17" w14:textId="77777777" w:rsidR="00E35033" w:rsidRPr="00E35033" w:rsidRDefault="00E35033" w:rsidP="00E35033">
            <w:pPr>
              <w:spacing w:line="240" w:lineRule="auto"/>
              <w:jc w:val="center"/>
              <w:rPr>
                <w:rFonts w:ascii="Arial" w:hAnsi="Arial" w:cs="Arial"/>
                <w:color w:val="000000"/>
                <w:szCs w:val="20"/>
              </w:rPr>
            </w:pPr>
            <w:r w:rsidRPr="00E35033">
              <w:rPr>
                <w:rFonts w:ascii="Arial" w:hAnsi="Arial" w:cs="Arial"/>
                <w:color w:val="000000"/>
                <w:szCs w:val="20"/>
              </w:rPr>
              <w:t>0</w:t>
            </w:r>
          </w:p>
        </w:tc>
      </w:tr>
      <w:tr w:rsidR="00E35033" w:rsidRPr="00E35033" w14:paraId="37C0A40B" w14:textId="77777777" w:rsidTr="00E35033">
        <w:trPr>
          <w:trHeight w:val="255"/>
        </w:trPr>
        <w:tc>
          <w:tcPr>
            <w:tcW w:w="2796" w:type="dxa"/>
            <w:tcBorders>
              <w:top w:val="nil"/>
              <w:left w:val="nil"/>
              <w:bottom w:val="nil"/>
              <w:right w:val="nil"/>
            </w:tcBorders>
            <w:noWrap/>
            <w:vAlign w:val="bottom"/>
            <w:hideMark/>
          </w:tcPr>
          <w:p w14:paraId="1364A2DA" w14:textId="77777777" w:rsidR="00E35033" w:rsidRPr="00E35033" w:rsidRDefault="00E35033" w:rsidP="00E35033">
            <w:pPr>
              <w:spacing w:line="240" w:lineRule="auto"/>
              <w:jc w:val="center"/>
              <w:rPr>
                <w:rFonts w:ascii="Arial" w:hAnsi="Arial" w:cs="Arial"/>
                <w:color w:val="000000"/>
                <w:szCs w:val="20"/>
              </w:rPr>
            </w:pPr>
          </w:p>
        </w:tc>
        <w:tc>
          <w:tcPr>
            <w:tcW w:w="1216" w:type="dxa"/>
            <w:tcBorders>
              <w:top w:val="nil"/>
              <w:left w:val="nil"/>
              <w:bottom w:val="nil"/>
              <w:right w:val="nil"/>
            </w:tcBorders>
            <w:noWrap/>
            <w:vAlign w:val="bottom"/>
            <w:hideMark/>
          </w:tcPr>
          <w:p w14:paraId="16C841E4" w14:textId="77777777" w:rsidR="00E35033" w:rsidRPr="00E35033" w:rsidRDefault="00E35033" w:rsidP="00E35033">
            <w:pPr>
              <w:spacing w:line="240" w:lineRule="auto"/>
              <w:rPr>
                <w:rFonts w:ascii="Times New Roman" w:hAnsi="Times New Roman"/>
                <w:color w:val="auto"/>
                <w:szCs w:val="20"/>
              </w:rPr>
            </w:pPr>
          </w:p>
        </w:tc>
        <w:tc>
          <w:tcPr>
            <w:tcW w:w="1116" w:type="dxa"/>
            <w:tcBorders>
              <w:top w:val="nil"/>
              <w:left w:val="nil"/>
              <w:bottom w:val="nil"/>
              <w:right w:val="nil"/>
            </w:tcBorders>
            <w:noWrap/>
            <w:vAlign w:val="bottom"/>
            <w:hideMark/>
          </w:tcPr>
          <w:p w14:paraId="1B948040" w14:textId="77777777" w:rsidR="00E35033" w:rsidRPr="00E35033" w:rsidRDefault="00E35033" w:rsidP="00E35033">
            <w:pPr>
              <w:spacing w:line="240" w:lineRule="auto"/>
              <w:rPr>
                <w:rFonts w:ascii="Times New Roman" w:hAnsi="Times New Roman"/>
                <w:color w:val="auto"/>
                <w:szCs w:val="20"/>
              </w:rPr>
            </w:pPr>
          </w:p>
        </w:tc>
        <w:tc>
          <w:tcPr>
            <w:tcW w:w="976" w:type="dxa"/>
            <w:tcBorders>
              <w:top w:val="nil"/>
              <w:left w:val="nil"/>
              <w:bottom w:val="nil"/>
              <w:right w:val="nil"/>
            </w:tcBorders>
            <w:noWrap/>
            <w:vAlign w:val="bottom"/>
            <w:hideMark/>
          </w:tcPr>
          <w:p w14:paraId="2B08E879" w14:textId="77777777" w:rsidR="00E35033" w:rsidRPr="00E35033" w:rsidRDefault="00E35033" w:rsidP="00E35033">
            <w:pPr>
              <w:spacing w:line="240" w:lineRule="auto"/>
              <w:rPr>
                <w:rFonts w:ascii="Times New Roman" w:hAnsi="Times New Roman"/>
                <w:color w:val="auto"/>
                <w:szCs w:val="20"/>
              </w:rPr>
            </w:pPr>
          </w:p>
        </w:tc>
        <w:tc>
          <w:tcPr>
            <w:tcW w:w="1636" w:type="dxa"/>
            <w:tcBorders>
              <w:top w:val="nil"/>
              <w:left w:val="nil"/>
              <w:bottom w:val="nil"/>
              <w:right w:val="nil"/>
            </w:tcBorders>
            <w:shd w:val="clear" w:color="A5A5A5" w:fill="A5A5A5"/>
            <w:noWrap/>
            <w:vAlign w:val="bottom"/>
            <w:hideMark/>
          </w:tcPr>
          <w:p w14:paraId="0FCB3FE7" w14:textId="77777777" w:rsidR="00E35033" w:rsidRPr="00E35033" w:rsidRDefault="00E35033" w:rsidP="00E35033">
            <w:pPr>
              <w:spacing w:line="240" w:lineRule="auto"/>
              <w:rPr>
                <w:rFonts w:ascii="Arial" w:hAnsi="Arial" w:cs="Arial"/>
                <w:b/>
                <w:bCs/>
                <w:i/>
                <w:iCs/>
                <w:color w:val="000000"/>
                <w:szCs w:val="20"/>
              </w:rPr>
            </w:pPr>
            <w:r w:rsidRPr="00E35033">
              <w:rPr>
                <w:rFonts w:ascii="Arial" w:hAnsi="Arial" w:cs="Arial"/>
                <w:b/>
                <w:bCs/>
                <w:i/>
                <w:iCs/>
                <w:color w:val="000000"/>
                <w:szCs w:val="20"/>
              </w:rPr>
              <w:t>Totaal scope 2</w:t>
            </w:r>
          </w:p>
        </w:tc>
        <w:tc>
          <w:tcPr>
            <w:tcW w:w="556" w:type="dxa"/>
            <w:tcBorders>
              <w:top w:val="nil"/>
              <w:left w:val="nil"/>
              <w:bottom w:val="nil"/>
              <w:right w:val="nil"/>
            </w:tcBorders>
            <w:shd w:val="clear" w:color="A5A5A5" w:fill="A5A5A5"/>
            <w:noWrap/>
            <w:vAlign w:val="bottom"/>
            <w:hideMark/>
          </w:tcPr>
          <w:p w14:paraId="035F4183" w14:textId="77777777" w:rsidR="00E35033" w:rsidRPr="00E35033" w:rsidRDefault="00E35033" w:rsidP="00E35033">
            <w:pPr>
              <w:spacing w:line="240" w:lineRule="auto"/>
              <w:rPr>
                <w:rFonts w:ascii="Arial" w:hAnsi="Arial" w:cs="Arial"/>
                <w:b/>
                <w:bCs/>
                <w:i/>
                <w:iCs/>
                <w:color w:val="000000"/>
                <w:szCs w:val="20"/>
              </w:rPr>
            </w:pPr>
            <w:r w:rsidRPr="00E35033">
              <w:rPr>
                <w:rFonts w:ascii="Arial" w:hAnsi="Arial" w:cs="Arial"/>
                <w:b/>
                <w:bCs/>
                <w:i/>
                <w:iCs/>
                <w:color w:val="000000"/>
                <w:szCs w:val="20"/>
              </w:rPr>
              <w:t> </w:t>
            </w:r>
          </w:p>
        </w:tc>
        <w:tc>
          <w:tcPr>
            <w:tcW w:w="976" w:type="dxa"/>
            <w:tcBorders>
              <w:top w:val="nil"/>
              <w:left w:val="nil"/>
              <w:bottom w:val="nil"/>
              <w:right w:val="nil"/>
            </w:tcBorders>
            <w:shd w:val="clear" w:color="A5A5A5" w:fill="A5A5A5"/>
            <w:noWrap/>
            <w:vAlign w:val="bottom"/>
            <w:hideMark/>
          </w:tcPr>
          <w:p w14:paraId="7860E1BA" w14:textId="74D79559" w:rsidR="00E35033" w:rsidRPr="00E35033" w:rsidRDefault="00D5654C" w:rsidP="00E35033">
            <w:pPr>
              <w:spacing w:line="240" w:lineRule="auto"/>
              <w:jc w:val="center"/>
              <w:rPr>
                <w:rFonts w:ascii="Arial" w:hAnsi="Arial" w:cs="Arial"/>
                <w:b/>
                <w:bCs/>
                <w:i/>
                <w:iCs/>
                <w:color w:val="000000"/>
                <w:szCs w:val="20"/>
              </w:rPr>
            </w:pPr>
            <w:r>
              <w:rPr>
                <w:rFonts w:ascii="Arial" w:hAnsi="Arial" w:cs="Arial"/>
                <w:b/>
                <w:bCs/>
                <w:i/>
                <w:iCs/>
                <w:color w:val="000000"/>
                <w:szCs w:val="20"/>
              </w:rPr>
              <w:t>49</w:t>
            </w:r>
          </w:p>
        </w:tc>
      </w:tr>
      <w:tr w:rsidR="00E35033" w:rsidRPr="00E35033" w14:paraId="4FEADC85" w14:textId="77777777" w:rsidTr="00E35033">
        <w:trPr>
          <w:trHeight w:val="255"/>
        </w:trPr>
        <w:tc>
          <w:tcPr>
            <w:tcW w:w="2796" w:type="dxa"/>
            <w:tcBorders>
              <w:top w:val="nil"/>
              <w:left w:val="nil"/>
              <w:bottom w:val="nil"/>
              <w:right w:val="nil"/>
            </w:tcBorders>
            <w:shd w:val="clear" w:color="000000" w:fill="FFFFFF"/>
            <w:noWrap/>
            <w:vAlign w:val="bottom"/>
            <w:hideMark/>
          </w:tcPr>
          <w:p w14:paraId="7461FD0E" w14:textId="77777777" w:rsidR="00E35033" w:rsidRPr="00E35033" w:rsidRDefault="00E35033" w:rsidP="00E35033">
            <w:pPr>
              <w:spacing w:line="240" w:lineRule="auto"/>
              <w:rPr>
                <w:rFonts w:ascii="Arial" w:hAnsi="Arial" w:cs="Arial"/>
                <w:b/>
                <w:bCs/>
                <w:i/>
                <w:iCs/>
                <w:color w:val="000000"/>
                <w:szCs w:val="20"/>
              </w:rPr>
            </w:pPr>
            <w:r w:rsidRPr="00E35033">
              <w:rPr>
                <w:rFonts w:ascii="Arial" w:hAnsi="Arial" w:cs="Arial"/>
                <w:b/>
                <w:bCs/>
                <w:i/>
                <w:iCs/>
                <w:color w:val="000000"/>
                <w:szCs w:val="20"/>
              </w:rPr>
              <w:t> </w:t>
            </w:r>
          </w:p>
        </w:tc>
        <w:tc>
          <w:tcPr>
            <w:tcW w:w="1216" w:type="dxa"/>
            <w:tcBorders>
              <w:top w:val="nil"/>
              <w:left w:val="nil"/>
              <w:bottom w:val="nil"/>
              <w:right w:val="nil"/>
            </w:tcBorders>
            <w:shd w:val="clear" w:color="000000" w:fill="FFFFFF"/>
            <w:noWrap/>
            <w:vAlign w:val="bottom"/>
            <w:hideMark/>
          </w:tcPr>
          <w:p w14:paraId="6E35F1BA" w14:textId="77777777" w:rsidR="00E35033" w:rsidRPr="00E35033" w:rsidRDefault="00E35033" w:rsidP="00E35033">
            <w:pPr>
              <w:spacing w:line="240" w:lineRule="auto"/>
              <w:rPr>
                <w:rFonts w:ascii="Arial" w:hAnsi="Arial" w:cs="Arial"/>
                <w:b/>
                <w:bCs/>
                <w:i/>
                <w:iCs/>
                <w:color w:val="000000"/>
                <w:szCs w:val="20"/>
              </w:rPr>
            </w:pPr>
            <w:r w:rsidRPr="00E35033">
              <w:rPr>
                <w:rFonts w:ascii="Arial" w:hAnsi="Arial" w:cs="Arial"/>
                <w:b/>
                <w:bCs/>
                <w:i/>
                <w:iCs/>
                <w:color w:val="000000"/>
                <w:szCs w:val="20"/>
              </w:rPr>
              <w:t> </w:t>
            </w:r>
          </w:p>
        </w:tc>
        <w:tc>
          <w:tcPr>
            <w:tcW w:w="1116" w:type="dxa"/>
            <w:tcBorders>
              <w:top w:val="nil"/>
              <w:left w:val="nil"/>
              <w:bottom w:val="nil"/>
              <w:right w:val="nil"/>
            </w:tcBorders>
            <w:shd w:val="clear" w:color="000000" w:fill="FFFFFF"/>
            <w:noWrap/>
            <w:vAlign w:val="bottom"/>
            <w:hideMark/>
          </w:tcPr>
          <w:p w14:paraId="26875F4A" w14:textId="77777777" w:rsidR="00E35033" w:rsidRPr="00E35033" w:rsidRDefault="00E35033" w:rsidP="00E35033">
            <w:pPr>
              <w:spacing w:line="240" w:lineRule="auto"/>
              <w:rPr>
                <w:rFonts w:ascii="Arial" w:hAnsi="Arial" w:cs="Arial"/>
                <w:b/>
                <w:bCs/>
                <w:i/>
                <w:iCs/>
                <w:color w:val="000000"/>
                <w:szCs w:val="20"/>
              </w:rPr>
            </w:pPr>
            <w:r w:rsidRPr="00E35033">
              <w:rPr>
                <w:rFonts w:ascii="Arial" w:hAnsi="Arial" w:cs="Arial"/>
                <w:b/>
                <w:bCs/>
                <w:i/>
                <w:iCs/>
                <w:color w:val="000000"/>
                <w:szCs w:val="20"/>
              </w:rPr>
              <w:t> </w:t>
            </w:r>
          </w:p>
        </w:tc>
        <w:tc>
          <w:tcPr>
            <w:tcW w:w="976" w:type="dxa"/>
            <w:tcBorders>
              <w:top w:val="nil"/>
              <w:left w:val="nil"/>
              <w:bottom w:val="nil"/>
              <w:right w:val="nil"/>
            </w:tcBorders>
            <w:shd w:val="clear" w:color="000000" w:fill="FFFFFF"/>
            <w:noWrap/>
            <w:vAlign w:val="bottom"/>
            <w:hideMark/>
          </w:tcPr>
          <w:p w14:paraId="325F50F5" w14:textId="77777777" w:rsidR="00E35033" w:rsidRPr="00E35033" w:rsidRDefault="00E35033" w:rsidP="00E35033">
            <w:pPr>
              <w:spacing w:line="240" w:lineRule="auto"/>
              <w:rPr>
                <w:rFonts w:ascii="Arial" w:hAnsi="Arial" w:cs="Arial"/>
                <w:b/>
                <w:bCs/>
                <w:i/>
                <w:iCs/>
                <w:color w:val="000000"/>
                <w:szCs w:val="20"/>
              </w:rPr>
            </w:pPr>
            <w:r w:rsidRPr="00E35033">
              <w:rPr>
                <w:rFonts w:ascii="Arial" w:hAnsi="Arial" w:cs="Arial"/>
                <w:b/>
                <w:bCs/>
                <w:i/>
                <w:iCs/>
                <w:color w:val="000000"/>
                <w:szCs w:val="20"/>
              </w:rPr>
              <w:t> </w:t>
            </w:r>
          </w:p>
        </w:tc>
        <w:tc>
          <w:tcPr>
            <w:tcW w:w="1636" w:type="dxa"/>
            <w:tcBorders>
              <w:top w:val="nil"/>
              <w:left w:val="nil"/>
              <w:bottom w:val="nil"/>
              <w:right w:val="nil"/>
            </w:tcBorders>
            <w:shd w:val="clear" w:color="000000" w:fill="FFFFFF"/>
            <w:noWrap/>
            <w:vAlign w:val="bottom"/>
            <w:hideMark/>
          </w:tcPr>
          <w:p w14:paraId="0DB18DE4" w14:textId="77777777" w:rsidR="00E35033" w:rsidRPr="00E35033" w:rsidRDefault="00E35033" w:rsidP="00E35033">
            <w:pPr>
              <w:spacing w:line="240" w:lineRule="auto"/>
              <w:rPr>
                <w:rFonts w:ascii="Arial" w:hAnsi="Arial" w:cs="Arial"/>
                <w:b/>
                <w:bCs/>
                <w:i/>
                <w:iCs/>
                <w:color w:val="000000"/>
                <w:szCs w:val="20"/>
              </w:rPr>
            </w:pPr>
            <w:r w:rsidRPr="00E35033">
              <w:rPr>
                <w:rFonts w:ascii="Arial" w:hAnsi="Arial" w:cs="Arial"/>
                <w:b/>
                <w:bCs/>
                <w:i/>
                <w:iCs/>
                <w:color w:val="000000"/>
                <w:szCs w:val="20"/>
              </w:rPr>
              <w:t> </w:t>
            </w:r>
          </w:p>
        </w:tc>
        <w:tc>
          <w:tcPr>
            <w:tcW w:w="556" w:type="dxa"/>
            <w:tcBorders>
              <w:top w:val="nil"/>
              <w:left w:val="nil"/>
              <w:bottom w:val="nil"/>
              <w:right w:val="nil"/>
            </w:tcBorders>
            <w:shd w:val="clear" w:color="000000" w:fill="FFFFFF"/>
            <w:noWrap/>
            <w:vAlign w:val="bottom"/>
            <w:hideMark/>
          </w:tcPr>
          <w:p w14:paraId="6F9D10DC" w14:textId="77777777" w:rsidR="00E35033" w:rsidRPr="00E35033" w:rsidRDefault="00E35033" w:rsidP="00E35033">
            <w:pPr>
              <w:spacing w:line="240" w:lineRule="auto"/>
              <w:rPr>
                <w:rFonts w:ascii="Arial" w:hAnsi="Arial" w:cs="Arial"/>
                <w:b/>
                <w:bCs/>
                <w:i/>
                <w:iCs/>
                <w:color w:val="000000"/>
                <w:szCs w:val="20"/>
              </w:rPr>
            </w:pPr>
            <w:r w:rsidRPr="00E35033">
              <w:rPr>
                <w:rFonts w:ascii="Arial" w:hAnsi="Arial" w:cs="Arial"/>
                <w:b/>
                <w:bCs/>
                <w:i/>
                <w:iCs/>
                <w:color w:val="000000"/>
                <w:szCs w:val="20"/>
              </w:rPr>
              <w:t> </w:t>
            </w:r>
          </w:p>
        </w:tc>
        <w:tc>
          <w:tcPr>
            <w:tcW w:w="976" w:type="dxa"/>
            <w:tcBorders>
              <w:top w:val="nil"/>
              <w:left w:val="nil"/>
              <w:bottom w:val="nil"/>
              <w:right w:val="nil"/>
            </w:tcBorders>
            <w:shd w:val="clear" w:color="000000" w:fill="FFFFFF"/>
            <w:noWrap/>
            <w:vAlign w:val="bottom"/>
            <w:hideMark/>
          </w:tcPr>
          <w:p w14:paraId="779CA820" w14:textId="77777777" w:rsidR="00E35033" w:rsidRPr="00E35033" w:rsidRDefault="00E35033" w:rsidP="00E35033">
            <w:pPr>
              <w:spacing w:line="240" w:lineRule="auto"/>
              <w:jc w:val="center"/>
              <w:rPr>
                <w:rFonts w:ascii="Arial" w:hAnsi="Arial" w:cs="Arial"/>
                <w:b/>
                <w:bCs/>
                <w:i/>
                <w:iCs/>
                <w:color w:val="000000"/>
                <w:szCs w:val="20"/>
              </w:rPr>
            </w:pPr>
            <w:r w:rsidRPr="00E35033">
              <w:rPr>
                <w:rFonts w:ascii="Arial" w:hAnsi="Arial" w:cs="Arial"/>
                <w:b/>
                <w:bCs/>
                <w:i/>
                <w:iCs/>
                <w:color w:val="000000"/>
                <w:szCs w:val="20"/>
              </w:rPr>
              <w:t> </w:t>
            </w:r>
          </w:p>
        </w:tc>
      </w:tr>
      <w:tr w:rsidR="00E35033" w:rsidRPr="00E35033" w14:paraId="4FD7C027" w14:textId="77777777" w:rsidTr="00E35033">
        <w:trPr>
          <w:trHeight w:val="255"/>
        </w:trPr>
        <w:tc>
          <w:tcPr>
            <w:tcW w:w="8296" w:type="dxa"/>
            <w:gridSpan w:val="6"/>
            <w:tcBorders>
              <w:top w:val="dotted" w:sz="4" w:space="0" w:color="000000"/>
              <w:left w:val="dotted" w:sz="4" w:space="0" w:color="000000"/>
              <w:bottom w:val="dotted" w:sz="4" w:space="0" w:color="000000"/>
              <w:right w:val="nil"/>
            </w:tcBorders>
            <w:shd w:val="clear" w:color="C2D69B" w:fill="C2D69B"/>
            <w:noWrap/>
            <w:vAlign w:val="bottom"/>
            <w:hideMark/>
          </w:tcPr>
          <w:p w14:paraId="001AAEC4" w14:textId="77777777" w:rsidR="00E35033" w:rsidRPr="00E35033" w:rsidRDefault="00E35033" w:rsidP="00E35033">
            <w:pPr>
              <w:spacing w:line="240" w:lineRule="auto"/>
              <w:rPr>
                <w:rFonts w:ascii="Arial" w:hAnsi="Arial" w:cs="Arial"/>
                <w:b/>
                <w:bCs/>
                <w:i/>
                <w:iCs/>
                <w:color w:val="000000"/>
                <w:sz w:val="24"/>
                <w:szCs w:val="24"/>
              </w:rPr>
            </w:pPr>
            <w:r w:rsidRPr="00E35033">
              <w:rPr>
                <w:rFonts w:ascii="Arial" w:hAnsi="Arial" w:cs="Arial"/>
                <w:b/>
                <w:bCs/>
                <w:i/>
                <w:iCs/>
                <w:color w:val="000000"/>
                <w:sz w:val="24"/>
                <w:szCs w:val="24"/>
              </w:rPr>
              <w:t>Totaal scope 1 en 2</w:t>
            </w:r>
          </w:p>
        </w:tc>
        <w:tc>
          <w:tcPr>
            <w:tcW w:w="976" w:type="dxa"/>
            <w:tcBorders>
              <w:top w:val="dotted" w:sz="4" w:space="0" w:color="000000"/>
              <w:left w:val="nil"/>
              <w:bottom w:val="dotted" w:sz="4" w:space="0" w:color="000000"/>
              <w:right w:val="dotted" w:sz="4" w:space="0" w:color="000000"/>
            </w:tcBorders>
            <w:shd w:val="clear" w:color="C2D69B" w:fill="C2D69B"/>
            <w:noWrap/>
            <w:vAlign w:val="bottom"/>
            <w:hideMark/>
          </w:tcPr>
          <w:p w14:paraId="1AAF3D84" w14:textId="171FEC01" w:rsidR="00E35033" w:rsidRPr="00E35033" w:rsidRDefault="00D5654C" w:rsidP="00E35033">
            <w:pPr>
              <w:spacing w:line="240" w:lineRule="auto"/>
              <w:jc w:val="center"/>
              <w:rPr>
                <w:rFonts w:ascii="Arial" w:hAnsi="Arial" w:cs="Arial"/>
                <w:b/>
                <w:bCs/>
                <w:i/>
                <w:iCs/>
                <w:color w:val="000000"/>
                <w:sz w:val="24"/>
                <w:szCs w:val="24"/>
              </w:rPr>
            </w:pPr>
            <w:r>
              <w:rPr>
                <w:rFonts w:ascii="Arial" w:hAnsi="Arial" w:cs="Arial"/>
                <w:b/>
                <w:bCs/>
                <w:i/>
                <w:iCs/>
                <w:color w:val="000000"/>
                <w:sz w:val="24"/>
                <w:szCs w:val="24"/>
              </w:rPr>
              <w:t>70</w:t>
            </w:r>
          </w:p>
        </w:tc>
      </w:tr>
    </w:tbl>
    <w:p w14:paraId="398BE9DE" w14:textId="2712D871" w:rsidR="003779D9" w:rsidRDefault="003779D9" w:rsidP="00376230">
      <w:pPr>
        <w:rPr>
          <w:rFonts w:eastAsia="Calibri"/>
          <w:lang w:eastAsia="en-US"/>
        </w:rPr>
      </w:pPr>
    </w:p>
    <w:p w14:paraId="15259B39" w14:textId="77777777" w:rsidR="003779D9" w:rsidRPr="00F95BFB" w:rsidRDefault="003779D9" w:rsidP="00376230">
      <w:pPr>
        <w:rPr>
          <w:rFonts w:eastAsia="Calibri"/>
          <w:lang w:eastAsia="en-US"/>
        </w:rPr>
      </w:pPr>
    </w:p>
    <w:p w14:paraId="4020F37A" w14:textId="5335707D" w:rsidR="00376230" w:rsidRPr="00F06F04" w:rsidRDefault="00376230" w:rsidP="00374B88">
      <w:pPr>
        <w:pStyle w:val="MOBParagraaf"/>
        <w:ind w:left="578" w:hanging="578"/>
        <w:rPr>
          <w:rFonts w:ascii="Lucida Sans Unicode" w:hAnsi="Lucida Sans Unicode" w:cs="Lucida Sans Unicode"/>
          <w:b w:val="0"/>
          <w:bCs/>
        </w:rPr>
      </w:pPr>
      <w:bookmarkStart w:id="14" w:name="_Toc85118619"/>
      <w:r w:rsidRPr="00374B88">
        <w:t>Berekende GHG emissies</w:t>
      </w:r>
      <w:bookmarkEnd w:id="11"/>
      <w:bookmarkEnd w:id="12"/>
      <w:bookmarkEnd w:id="13"/>
      <w:bookmarkEnd w:id="14"/>
    </w:p>
    <w:p w14:paraId="43033890" w14:textId="1F0C03E9" w:rsidR="00C42EEB" w:rsidRPr="005F7BBC" w:rsidRDefault="00376230" w:rsidP="002A24BA">
      <w:pPr>
        <w:rPr>
          <w:rFonts w:eastAsia="Calibri"/>
          <w:lang w:eastAsia="en-US"/>
        </w:rPr>
      </w:pPr>
      <w:bookmarkStart w:id="15" w:name="_Hlk175904272"/>
      <w:r w:rsidRPr="005F7BBC">
        <w:rPr>
          <w:rFonts w:eastAsia="Calibri"/>
          <w:lang w:eastAsia="en-US"/>
        </w:rPr>
        <w:t xml:space="preserve">De directe en indirecte GHG-emissie bedroeg </w:t>
      </w:r>
      <w:r w:rsidR="00D5654C">
        <w:rPr>
          <w:rFonts w:eastAsia="Calibri"/>
          <w:lang w:eastAsia="en-US"/>
        </w:rPr>
        <w:t>70</w:t>
      </w:r>
      <w:r w:rsidR="00E35033">
        <w:rPr>
          <w:rFonts w:eastAsia="Calibri"/>
          <w:lang w:eastAsia="en-US"/>
        </w:rPr>
        <w:t xml:space="preserve"> </w:t>
      </w:r>
      <w:r w:rsidRPr="005F7BBC">
        <w:rPr>
          <w:rFonts w:eastAsia="Calibri"/>
          <w:lang w:eastAsia="en-US"/>
        </w:rPr>
        <w:t>ton in 20</w:t>
      </w:r>
      <w:r w:rsidR="00A301D3" w:rsidRPr="005F7BBC">
        <w:rPr>
          <w:rFonts w:eastAsia="Calibri"/>
          <w:lang w:eastAsia="en-US"/>
        </w:rPr>
        <w:t>2</w:t>
      </w:r>
      <w:r w:rsidR="002A24BA">
        <w:rPr>
          <w:rFonts w:eastAsia="Calibri"/>
          <w:lang w:eastAsia="en-US"/>
        </w:rPr>
        <w:t>4</w:t>
      </w:r>
      <w:r w:rsidR="00B00AFF" w:rsidRPr="005F7BBC">
        <w:rPr>
          <w:rFonts w:eastAsia="Calibri"/>
          <w:lang w:eastAsia="en-US"/>
        </w:rPr>
        <w:t>.</w:t>
      </w:r>
      <w:r w:rsidRPr="005F7BBC">
        <w:rPr>
          <w:rFonts w:eastAsia="Calibri"/>
          <w:lang w:eastAsia="en-US"/>
        </w:rPr>
        <w:t xml:space="preserve"> Hiervan werd </w:t>
      </w:r>
      <w:r w:rsidR="00D5654C">
        <w:rPr>
          <w:rFonts w:eastAsia="Calibri"/>
          <w:lang w:eastAsia="en-US"/>
        </w:rPr>
        <w:t>21</w:t>
      </w:r>
      <w:r w:rsidRPr="005F7BBC">
        <w:rPr>
          <w:rFonts w:eastAsia="Calibri"/>
          <w:lang w:eastAsia="en-US"/>
        </w:rPr>
        <w:t xml:space="preserve"> ton </w:t>
      </w:r>
      <w:r w:rsidR="00261F55" w:rsidRPr="005F7BBC">
        <w:rPr>
          <w:rFonts w:eastAsia="Calibri"/>
          <w:lang w:eastAsia="en-US"/>
        </w:rPr>
        <w:t>CO2</w:t>
      </w:r>
      <w:r w:rsidRPr="005F7BBC">
        <w:rPr>
          <w:rFonts w:eastAsia="Calibri"/>
          <w:lang w:eastAsia="en-US"/>
        </w:rPr>
        <w:t xml:space="preserve"> veroorzaakt door directe GHG-emissie (scope 1)</w:t>
      </w:r>
      <w:r w:rsidR="005F7BBC" w:rsidRPr="005F7BBC">
        <w:rPr>
          <w:rFonts w:eastAsia="Calibri"/>
          <w:lang w:eastAsia="en-US"/>
        </w:rPr>
        <w:t xml:space="preserve"> en </w:t>
      </w:r>
      <w:r w:rsidR="002A24BA">
        <w:rPr>
          <w:rFonts w:eastAsia="Calibri"/>
          <w:lang w:eastAsia="en-US"/>
        </w:rPr>
        <w:t>4</w:t>
      </w:r>
      <w:r w:rsidR="00D5654C">
        <w:rPr>
          <w:rFonts w:eastAsia="Calibri"/>
          <w:lang w:eastAsia="en-US"/>
        </w:rPr>
        <w:t>9</w:t>
      </w:r>
      <w:r w:rsidRPr="005F7BBC">
        <w:rPr>
          <w:rFonts w:eastAsia="Calibri"/>
          <w:lang w:eastAsia="en-US"/>
        </w:rPr>
        <w:t xml:space="preserve"> ton </w:t>
      </w:r>
      <w:r w:rsidR="00261F55" w:rsidRPr="005F7BBC">
        <w:rPr>
          <w:rFonts w:eastAsia="Calibri"/>
          <w:lang w:eastAsia="en-US"/>
        </w:rPr>
        <w:t>CO2</w:t>
      </w:r>
      <w:r w:rsidRPr="005F7BBC">
        <w:rPr>
          <w:rFonts w:eastAsia="Calibri"/>
          <w:lang w:eastAsia="en-US"/>
        </w:rPr>
        <w:t xml:space="preserve"> door indirecte GHG-emissie (scope 2</w:t>
      </w:r>
      <w:r w:rsidR="005F7BBC" w:rsidRPr="005F7BBC">
        <w:rPr>
          <w:rFonts w:eastAsia="Calibri"/>
          <w:lang w:eastAsia="en-US"/>
        </w:rPr>
        <w:t>)</w:t>
      </w:r>
      <w:r w:rsidR="002A24BA">
        <w:rPr>
          <w:rFonts w:eastAsia="Calibri"/>
          <w:lang w:eastAsia="en-US"/>
        </w:rPr>
        <w:t>.</w:t>
      </w:r>
      <w:r w:rsidRPr="005F7BBC">
        <w:rPr>
          <w:rFonts w:eastAsia="Calibri"/>
          <w:lang w:eastAsia="en-US"/>
        </w:rPr>
        <w:t xml:space="preserve"> </w:t>
      </w:r>
    </w:p>
    <w:bookmarkEnd w:id="15"/>
    <w:p w14:paraId="3547D599" w14:textId="546A2919" w:rsidR="00560EC3" w:rsidRDefault="00560EC3" w:rsidP="00376230">
      <w:pPr>
        <w:rPr>
          <w:rFonts w:eastAsia="Calibri"/>
          <w:lang w:eastAsia="en-US"/>
        </w:rPr>
      </w:pPr>
    </w:p>
    <w:p w14:paraId="5C963B7F" w14:textId="71250373" w:rsidR="00F219F6" w:rsidRPr="008E7137" w:rsidRDefault="00F219F6" w:rsidP="00376230">
      <w:pPr>
        <w:rPr>
          <w:rFonts w:eastAsia="Calibri"/>
          <w:lang w:eastAsia="en-US"/>
        </w:rPr>
      </w:pPr>
      <w:r>
        <w:rPr>
          <w:rFonts w:eastAsia="Calibri"/>
          <w:lang w:eastAsia="en-US"/>
        </w:rPr>
        <w:t xml:space="preserve">De footprint is met </w:t>
      </w:r>
      <w:r w:rsidR="000532E7">
        <w:rPr>
          <w:rFonts w:eastAsia="Calibri"/>
          <w:lang w:eastAsia="en-US"/>
        </w:rPr>
        <w:t>47</w:t>
      </w:r>
      <w:r>
        <w:rPr>
          <w:rFonts w:eastAsia="Calibri"/>
          <w:lang w:eastAsia="en-US"/>
        </w:rPr>
        <w:t xml:space="preserve">% gedaald t.o.v. 2019. Dit komt vooral </w:t>
      </w:r>
      <w:r w:rsidR="00E35033">
        <w:rPr>
          <w:rFonts w:eastAsia="Calibri"/>
          <w:lang w:eastAsia="en-US"/>
        </w:rPr>
        <w:t xml:space="preserve">door de verhuizing van pand in Den Bosch en </w:t>
      </w:r>
      <w:r>
        <w:rPr>
          <w:rFonts w:eastAsia="Calibri"/>
          <w:lang w:eastAsia="en-US"/>
        </w:rPr>
        <w:t xml:space="preserve">doordat we geen dieselauto’s meer gebruiken en minder benzineauto’s. Ook </w:t>
      </w:r>
      <w:r w:rsidR="005524F5">
        <w:rPr>
          <w:rFonts w:eastAsia="Calibri"/>
          <w:lang w:eastAsia="en-US"/>
        </w:rPr>
        <w:t xml:space="preserve">hebben we kunnen reduceren door afgelopen jaar maar één keer te vliegen. </w:t>
      </w:r>
    </w:p>
    <w:p w14:paraId="26997B7E" w14:textId="0BBD14D9" w:rsidR="00376230" w:rsidRPr="00374B88" w:rsidRDefault="00376230" w:rsidP="00DB2B22">
      <w:pPr>
        <w:pStyle w:val="MOBSubparagraaf"/>
      </w:pPr>
      <w:r w:rsidRPr="00374B88">
        <w:t>Scope 1</w:t>
      </w:r>
    </w:p>
    <w:p w14:paraId="69234BBD" w14:textId="77777777" w:rsidR="00376230" w:rsidRPr="008E7137" w:rsidRDefault="00376230" w:rsidP="00376230">
      <w:pPr>
        <w:rPr>
          <w:rFonts w:eastAsia="Calibri"/>
          <w:lang w:eastAsia="en-US"/>
        </w:rPr>
      </w:pPr>
      <w:r w:rsidRPr="008E7137">
        <w:rPr>
          <w:rFonts w:eastAsia="Calibri"/>
          <w:lang w:eastAsia="en-US"/>
        </w:rPr>
        <w:t>De emissie-inventaris gebaseerd op onderstaande gegevens:</w:t>
      </w:r>
    </w:p>
    <w:p w14:paraId="0853F5BB" w14:textId="14ECBFC6" w:rsidR="003054C6" w:rsidRDefault="003054C6">
      <w:pPr>
        <w:spacing w:line="240" w:lineRule="auto"/>
        <w:rPr>
          <w:rFonts w:ascii="Lucida Sans Unicode" w:hAnsi="Lucida Sans Unicode" w:cs="Lucida Sans Unicode"/>
          <w:u w:val="single"/>
        </w:rPr>
      </w:pPr>
    </w:p>
    <w:p w14:paraId="2B29C031" w14:textId="479DB5CB" w:rsidR="00376230" w:rsidRPr="00EA7FAD" w:rsidRDefault="00376230" w:rsidP="00376230">
      <w:pPr>
        <w:rPr>
          <w:rFonts w:ascii="Lucida Sans Unicode" w:hAnsi="Lucida Sans Unicode" w:cs="Lucida Sans Unicode"/>
          <w:u w:val="single"/>
        </w:rPr>
      </w:pPr>
      <w:r w:rsidRPr="00EA7FAD">
        <w:rPr>
          <w:rFonts w:ascii="Lucida Sans Unicode" w:hAnsi="Lucida Sans Unicode" w:cs="Lucida Sans Unicode"/>
          <w:u w:val="single"/>
        </w:rPr>
        <w:t>Gebouw:</w:t>
      </w:r>
    </w:p>
    <w:p w14:paraId="7A069D67" w14:textId="5A51FAEF" w:rsidR="002E5180" w:rsidRPr="00EA7FAD" w:rsidRDefault="002E5180" w:rsidP="008E7137">
      <w:pPr>
        <w:rPr>
          <w:rFonts w:eastAsia="Calibri"/>
          <w:lang w:eastAsia="en-US"/>
        </w:rPr>
      </w:pPr>
      <w:bookmarkStart w:id="16" w:name="_Hlk2411738"/>
      <w:r w:rsidRPr="00EA7FAD">
        <w:rPr>
          <w:rFonts w:eastAsia="Calibri"/>
          <w:lang w:eastAsia="en-US"/>
        </w:rPr>
        <w:t>Mobycon h</w:t>
      </w:r>
      <w:r w:rsidR="005524F5">
        <w:rPr>
          <w:rFonts w:eastAsia="Calibri"/>
          <w:lang w:eastAsia="en-US"/>
        </w:rPr>
        <w:t>ad in 2024</w:t>
      </w:r>
      <w:r w:rsidRPr="00EA7FAD">
        <w:rPr>
          <w:rFonts w:eastAsia="Calibri"/>
          <w:lang w:eastAsia="en-US"/>
        </w:rPr>
        <w:t xml:space="preserve"> </w:t>
      </w:r>
      <w:r w:rsidR="005524F5">
        <w:rPr>
          <w:rFonts w:eastAsia="Calibri"/>
          <w:lang w:eastAsia="en-US"/>
        </w:rPr>
        <w:t>vier</w:t>
      </w:r>
      <w:r w:rsidRPr="00EA7FAD">
        <w:rPr>
          <w:rFonts w:eastAsia="Calibri"/>
          <w:lang w:eastAsia="en-US"/>
        </w:rPr>
        <w:t xml:space="preserve"> vestigingen gehuurd </w:t>
      </w:r>
      <w:r w:rsidR="003054C6" w:rsidRPr="00EA7FAD">
        <w:rPr>
          <w:rFonts w:eastAsia="Calibri"/>
          <w:lang w:eastAsia="en-US"/>
        </w:rPr>
        <w:t xml:space="preserve">in </w:t>
      </w:r>
      <w:r w:rsidRPr="00EA7FAD">
        <w:rPr>
          <w:rFonts w:eastAsia="Calibri"/>
          <w:lang w:eastAsia="en-US"/>
        </w:rPr>
        <w:t>de steden Delft (hoofdkantoor), Zwolle en Den Bosch. De h</w:t>
      </w:r>
      <w:r w:rsidR="00376230" w:rsidRPr="00EA7FAD">
        <w:rPr>
          <w:rFonts w:eastAsia="Calibri"/>
          <w:lang w:eastAsia="en-US"/>
        </w:rPr>
        <w:t xml:space="preserve">uur </w:t>
      </w:r>
      <w:r w:rsidRPr="00EA7FAD">
        <w:rPr>
          <w:rFonts w:eastAsia="Calibri"/>
          <w:lang w:eastAsia="en-US"/>
        </w:rPr>
        <w:t xml:space="preserve">van deze </w:t>
      </w:r>
      <w:r w:rsidR="00376230" w:rsidRPr="00EA7FAD">
        <w:rPr>
          <w:rFonts w:eastAsia="Calibri"/>
          <w:lang w:eastAsia="en-US"/>
        </w:rPr>
        <w:t>kantoorruimte</w:t>
      </w:r>
      <w:r w:rsidRPr="00EA7FAD">
        <w:rPr>
          <w:rFonts w:eastAsia="Calibri"/>
          <w:lang w:eastAsia="en-US"/>
        </w:rPr>
        <w:t>n vindt allen plaats</w:t>
      </w:r>
      <w:r w:rsidR="00376230" w:rsidRPr="00EA7FAD">
        <w:rPr>
          <w:rFonts w:eastAsia="Calibri"/>
          <w:lang w:eastAsia="en-US"/>
        </w:rPr>
        <w:t xml:space="preserve"> in verzamelgebouwen</w:t>
      </w:r>
      <w:r w:rsidRPr="00EA7FAD">
        <w:rPr>
          <w:rFonts w:eastAsia="Calibri"/>
          <w:lang w:eastAsia="en-US"/>
        </w:rPr>
        <w:t>.</w:t>
      </w:r>
    </w:p>
    <w:p w14:paraId="0C38C98A" w14:textId="4444D2C7" w:rsidR="002E5180" w:rsidRPr="00EA7FAD" w:rsidRDefault="002E5180" w:rsidP="008E7137">
      <w:pPr>
        <w:rPr>
          <w:rFonts w:eastAsia="Calibri"/>
          <w:lang w:eastAsia="en-US"/>
        </w:rPr>
      </w:pPr>
    </w:p>
    <w:p w14:paraId="1F56F71C" w14:textId="2192D238" w:rsidR="002E5180" w:rsidRPr="00EA7FAD" w:rsidRDefault="002E5180" w:rsidP="008E7137">
      <w:pPr>
        <w:rPr>
          <w:rFonts w:eastAsia="Calibri"/>
          <w:lang w:eastAsia="en-US"/>
        </w:rPr>
      </w:pPr>
      <w:r w:rsidRPr="00EA7FAD">
        <w:rPr>
          <w:rFonts w:eastAsia="Calibri"/>
          <w:lang w:eastAsia="en-US"/>
        </w:rPr>
        <w:t>Mobycon Delft is gevestigd in het pand “Bacinol” (Hooikade 13). Het betreft een karakteristiek gebouw met een gunstige ligging vlakbij het centraal station en het centrum. Op de 1</w:t>
      </w:r>
      <w:r w:rsidRPr="00EA7FAD">
        <w:rPr>
          <w:rFonts w:eastAsia="Calibri"/>
          <w:vertAlign w:val="superscript"/>
          <w:lang w:eastAsia="en-US"/>
        </w:rPr>
        <w:t>e</w:t>
      </w:r>
      <w:r w:rsidRPr="00EA7FAD">
        <w:rPr>
          <w:rFonts w:eastAsia="Calibri"/>
          <w:lang w:eastAsia="en-US"/>
        </w:rPr>
        <w:t xml:space="preserve"> etage </w:t>
      </w:r>
      <w:r w:rsidR="008B7D28" w:rsidRPr="00EA7FAD">
        <w:rPr>
          <w:rFonts w:eastAsia="Calibri"/>
          <w:lang w:eastAsia="en-US"/>
        </w:rPr>
        <w:t>bev</w:t>
      </w:r>
      <w:r w:rsidRPr="00EA7FAD">
        <w:rPr>
          <w:rFonts w:eastAsia="Calibri"/>
          <w:lang w:eastAsia="en-US"/>
        </w:rPr>
        <w:t>indt zich het kantoor van Mobycon met zo’n 20 werkplekken</w:t>
      </w:r>
      <w:r w:rsidR="008B7D28" w:rsidRPr="00EA7FAD">
        <w:rPr>
          <w:rFonts w:eastAsia="Calibri"/>
          <w:lang w:eastAsia="en-US"/>
        </w:rPr>
        <w:t xml:space="preserve"> (180,4 m2)</w:t>
      </w:r>
      <w:r w:rsidRPr="00EA7FAD">
        <w:rPr>
          <w:rFonts w:eastAsia="Calibri"/>
          <w:lang w:eastAsia="en-US"/>
        </w:rPr>
        <w:t>.</w:t>
      </w:r>
    </w:p>
    <w:p w14:paraId="3C3AFF18" w14:textId="46178751" w:rsidR="002E5180" w:rsidRPr="00F95BFB" w:rsidRDefault="002E5180" w:rsidP="008E7137">
      <w:pPr>
        <w:rPr>
          <w:rFonts w:eastAsia="Calibri"/>
          <w:highlight w:val="yellow"/>
          <w:lang w:eastAsia="en-US"/>
        </w:rPr>
      </w:pPr>
    </w:p>
    <w:p w14:paraId="0FAF1010" w14:textId="732E39F5" w:rsidR="002E5180" w:rsidRPr="00EA7FAD" w:rsidRDefault="002E5180" w:rsidP="008E7137">
      <w:pPr>
        <w:rPr>
          <w:rFonts w:eastAsia="Calibri"/>
          <w:lang w:eastAsia="en-US"/>
        </w:rPr>
      </w:pPr>
      <w:r w:rsidRPr="00EA7FAD">
        <w:rPr>
          <w:rFonts w:eastAsia="Calibri"/>
          <w:lang w:eastAsia="en-US"/>
        </w:rPr>
        <w:lastRenderedPageBreak/>
        <w:t>Mobycon Zwolle is gevestigd in het pand “Hanz” (Hanzeplein 11-27). Het betreft een ve</w:t>
      </w:r>
      <w:r w:rsidR="008B7D28" w:rsidRPr="00EA7FAD">
        <w:rPr>
          <w:rFonts w:eastAsia="Calibri"/>
          <w:lang w:eastAsia="en-US"/>
        </w:rPr>
        <w:t>r</w:t>
      </w:r>
      <w:r w:rsidRPr="00EA7FAD">
        <w:rPr>
          <w:rFonts w:eastAsia="Calibri"/>
          <w:lang w:eastAsia="en-US"/>
        </w:rPr>
        <w:t>zamelgebouw</w:t>
      </w:r>
      <w:r w:rsidR="008B7D28" w:rsidRPr="00EA7FAD">
        <w:rPr>
          <w:rFonts w:eastAsia="Calibri"/>
          <w:lang w:eastAsia="en-US"/>
        </w:rPr>
        <w:t xml:space="preserve"> met een gunstige ligging vlakbij het centraal station en voldoende parkeergelegenheid. Op de 8</w:t>
      </w:r>
      <w:r w:rsidR="008B7D28" w:rsidRPr="00EA7FAD">
        <w:rPr>
          <w:rFonts w:eastAsia="Calibri"/>
          <w:vertAlign w:val="superscript"/>
          <w:lang w:eastAsia="en-US"/>
        </w:rPr>
        <w:t>e</w:t>
      </w:r>
      <w:r w:rsidR="008B7D28" w:rsidRPr="00EA7FAD">
        <w:rPr>
          <w:rFonts w:eastAsia="Calibri"/>
          <w:lang w:eastAsia="en-US"/>
        </w:rPr>
        <w:t xml:space="preserve"> etage bevindt zich het kantoor van Mobycon met zo’n 12 werkplekken (138 m2)</w:t>
      </w:r>
      <w:r w:rsidR="00C04A21" w:rsidRPr="00EA7FAD">
        <w:rPr>
          <w:rFonts w:eastAsia="Calibri"/>
          <w:lang w:eastAsia="en-US"/>
        </w:rPr>
        <w:t>.</w:t>
      </w:r>
    </w:p>
    <w:p w14:paraId="7204F62F" w14:textId="4F1CF286" w:rsidR="008B7D28" w:rsidRPr="005F7BBC" w:rsidRDefault="008B7D28" w:rsidP="008E7137">
      <w:pPr>
        <w:rPr>
          <w:rFonts w:eastAsia="Calibri"/>
          <w:lang w:eastAsia="en-US"/>
        </w:rPr>
      </w:pPr>
    </w:p>
    <w:p w14:paraId="2490CF88" w14:textId="14C1D9E5" w:rsidR="008B7D28" w:rsidRDefault="008B7D28" w:rsidP="008E7137">
      <w:pPr>
        <w:rPr>
          <w:rFonts w:eastAsia="Calibri"/>
          <w:lang w:eastAsia="en-US"/>
        </w:rPr>
      </w:pPr>
      <w:r w:rsidRPr="005F7BBC">
        <w:rPr>
          <w:rFonts w:eastAsia="Calibri"/>
          <w:lang w:eastAsia="en-US"/>
        </w:rPr>
        <w:t xml:space="preserve">Mobycon </w:t>
      </w:r>
      <w:r w:rsidR="003054C6" w:rsidRPr="005F7BBC">
        <w:rPr>
          <w:rFonts w:eastAsia="Calibri"/>
          <w:lang w:eastAsia="en-US"/>
        </w:rPr>
        <w:t xml:space="preserve">Den Bosch </w:t>
      </w:r>
      <w:r w:rsidR="005F7BBC" w:rsidRPr="005F7BBC">
        <w:rPr>
          <w:rFonts w:eastAsia="Calibri"/>
          <w:lang w:eastAsia="en-US"/>
        </w:rPr>
        <w:t>was in 202</w:t>
      </w:r>
      <w:r w:rsidR="00375C15">
        <w:rPr>
          <w:rFonts w:eastAsia="Calibri"/>
          <w:lang w:eastAsia="en-US"/>
        </w:rPr>
        <w:t>4</w:t>
      </w:r>
      <w:r w:rsidRPr="005F7BBC">
        <w:rPr>
          <w:rFonts w:eastAsia="Calibri"/>
          <w:lang w:eastAsia="en-US"/>
        </w:rPr>
        <w:t xml:space="preserve"> gevestigd in het pand “HNK” (Europalaan 28D). Het bet</w:t>
      </w:r>
      <w:r w:rsidR="005F7BBC" w:rsidRPr="005F7BBC">
        <w:rPr>
          <w:rFonts w:eastAsia="Calibri"/>
          <w:lang w:eastAsia="en-US"/>
        </w:rPr>
        <w:t>rof</w:t>
      </w:r>
      <w:r w:rsidRPr="005F7BBC">
        <w:rPr>
          <w:rFonts w:eastAsia="Calibri"/>
          <w:lang w:eastAsia="en-US"/>
        </w:rPr>
        <w:t xml:space="preserve"> eveneens een verzamelgebouw gelegen aan de A2 met voldoende parkeergelegenheid en busstation op loopafstand. Op de 2</w:t>
      </w:r>
      <w:r w:rsidRPr="005F7BBC">
        <w:rPr>
          <w:rFonts w:eastAsia="Calibri"/>
          <w:vertAlign w:val="superscript"/>
          <w:lang w:eastAsia="en-US"/>
        </w:rPr>
        <w:t>e</w:t>
      </w:r>
      <w:r w:rsidRPr="005F7BBC">
        <w:rPr>
          <w:rFonts w:eastAsia="Calibri"/>
          <w:lang w:eastAsia="en-US"/>
        </w:rPr>
        <w:t xml:space="preserve"> etage bev</w:t>
      </w:r>
      <w:r w:rsidR="005F7BBC" w:rsidRPr="005F7BBC">
        <w:rPr>
          <w:rFonts w:eastAsia="Calibri"/>
          <w:lang w:eastAsia="en-US"/>
        </w:rPr>
        <w:t>ond</w:t>
      </w:r>
      <w:r w:rsidRPr="005F7BBC">
        <w:rPr>
          <w:rFonts w:eastAsia="Calibri"/>
          <w:lang w:eastAsia="en-US"/>
        </w:rPr>
        <w:t xml:space="preserve"> zich het kantoor van Mobycon met zo’n 20 werkplekken (264,68 m2) en </w:t>
      </w:r>
      <w:r w:rsidR="003054C6" w:rsidRPr="005F7BBC">
        <w:rPr>
          <w:rFonts w:eastAsia="Calibri"/>
          <w:lang w:eastAsia="en-US"/>
        </w:rPr>
        <w:t xml:space="preserve">twee </w:t>
      </w:r>
      <w:r w:rsidRPr="005F7BBC">
        <w:rPr>
          <w:rFonts w:eastAsia="Calibri"/>
          <w:lang w:eastAsia="en-US"/>
        </w:rPr>
        <w:t>vergaderruimtes.</w:t>
      </w:r>
    </w:p>
    <w:p w14:paraId="4FF18A20" w14:textId="77777777" w:rsidR="00802254" w:rsidRDefault="00802254" w:rsidP="008E7137">
      <w:pPr>
        <w:rPr>
          <w:rFonts w:eastAsia="Calibri"/>
          <w:lang w:eastAsia="en-US"/>
        </w:rPr>
      </w:pPr>
    </w:p>
    <w:p w14:paraId="2D14000C" w14:textId="6979E178" w:rsidR="00802254" w:rsidRDefault="00802254" w:rsidP="008E7137">
      <w:pPr>
        <w:rPr>
          <w:rFonts w:eastAsia="Calibri"/>
          <w:lang w:eastAsia="en-US"/>
        </w:rPr>
      </w:pPr>
      <w:r>
        <w:rPr>
          <w:rFonts w:eastAsia="Calibri"/>
          <w:lang w:eastAsia="en-US"/>
        </w:rPr>
        <w:t xml:space="preserve">Mobycon is vanuit het voorgaande pand verhuisd naar een andere pand op het Stationsplein </w:t>
      </w:r>
      <w:r w:rsidR="005B6B26">
        <w:rPr>
          <w:rFonts w:eastAsia="Calibri"/>
          <w:lang w:eastAsia="en-US"/>
        </w:rPr>
        <w:t xml:space="preserve">in Den Bosch. Een heel duurzaam pand met een warmtepomp, zonnepanelen en ze kopen daarnaast nog groene stroom in. Het ligt naast het station, dus hierdoor kunnen medewerkers ook makkelijker reizen met de trein. </w:t>
      </w:r>
      <w:r w:rsidR="00CB624B">
        <w:rPr>
          <w:rFonts w:eastAsia="Calibri"/>
          <w:lang w:eastAsia="en-US"/>
        </w:rPr>
        <w:t xml:space="preserve">De verhuizing naar dit pand zal onze footprint in de toekomst aanzienlijk doen dalen. </w:t>
      </w:r>
      <w:r w:rsidR="00CE5E35" w:rsidRPr="00C42EEB">
        <w:rPr>
          <w:rFonts w:eastAsia="Calibri"/>
          <w:lang w:eastAsia="en-US"/>
        </w:rPr>
        <w:t>Er is parkeergelegenheid in de P&amp;R op loopafstand van het kantoor. Werknemers worden met name gestimuleerd om het ov te gebruiken of met de fiets/te voet naar kantoor te komen. Op de 2e etage bevindt zich het kantoor van Mobycon met zo'n 25 werkplekken (405m2 incl. toebedeling algemene ruimte) en 6 kleine vergaderruimtes (1-4 personen), 1 grote vergaderruimte (10 personen) en een open ruimte voor grote groepen (50 personen). </w:t>
      </w:r>
      <w:r w:rsidR="005E31D5">
        <w:rPr>
          <w:rFonts w:eastAsia="Calibri"/>
          <w:lang w:eastAsia="en-US"/>
        </w:rPr>
        <w:t>bh</w:t>
      </w:r>
    </w:p>
    <w:p w14:paraId="590C9BBF" w14:textId="7BEC099C" w:rsidR="002E5180" w:rsidRDefault="002E5180" w:rsidP="008E7137">
      <w:pPr>
        <w:rPr>
          <w:rFonts w:eastAsia="Calibri"/>
          <w:lang w:eastAsia="en-US"/>
        </w:rPr>
      </w:pPr>
    </w:p>
    <w:bookmarkEnd w:id="16"/>
    <w:p w14:paraId="049346FA" w14:textId="77777777" w:rsidR="00376230" w:rsidRPr="002E5180" w:rsidRDefault="00376230" w:rsidP="00376230">
      <w:pPr>
        <w:shd w:val="clear" w:color="auto" w:fill="FFFFFF"/>
        <w:rPr>
          <w:rFonts w:asciiTheme="minorHAnsi" w:hAnsiTheme="minorHAnsi" w:cstheme="minorHAnsi"/>
          <w:u w:val="single"/>
        </w:rPr>
      </w:pPr>
      <w:r w:rsidRPr="002E5180">
        <w:rPr>
          <w:rFonts w:asciiTheme="minorHAnsi" w:hAnsiTheme="minorHAnsi" w:cstheme="minorHAnsi"/>
          <w:u w:val="single"/>
        </w:rPr>
        <w:t>Afvalstroom:</w:t>
      </w:r>
    </w:p>
    <w:p w14:paraId="2116A1D0" w14:textId="77777777" w:rsidR="00376230" w:rsidRPr="002E5180" w:rsidRDefault="00376230" w:rsidP="006C0E57">
      <w:pPr>
        <w:numPr>
          <w:ilvl w:val="0"/>
          <w:numId w:val="5"/>
        </w:numPr>
        <w:shd w:val="clear" w:color="auto" w:fill="FFFFFF"/>
        <w:spacing w:line="240" w:lineRule="auto"/>
        <w:contextualSpacing/>
        <w:rPr>
          <w:rFonts w:asciiTheme="minorHAnsi" w:hAnsiTheme="minorHAnsi" w:cstheme="minorHAnsi"/>
        </w:rPr>
      </w:pPr>
      <w:r w:rsidRPr="002E5180">
        <w:rPr>
          <w:rFonts w:asciiTheme="minorHAnsi" w:hAnsiTheme="minorHAnsi" w:cstheme="minorHAnsi"/>
        </w:rPr>
        <w:t>Papier en karton wordt gescheiden afgevoerd;</w:t>
      </w:r>
    </w:p>
    <w:p w14:paraId="7C4A7CDA" w14:textId="2CF575C2" w:rsidR="00376230" w:rsidRPr="002E5180" w:rsidRDefault="007D348D" w:rsidP="006C0E57">
      <w:pPr>
        <w:numPr>
          <w:ilvl w:val="0"/>
          <w:numId w:val="5"/>
        </w:numPr>
        <w:shd w:val="clear" w:color="auto" w:fill="FFFFFF"/>
        <w:spacing w:line="240" w:lineRule="auto"/>
        <w:contextualSpacing/>
        <w:rPr>
          <w:rFonts w:asciiTheme="minorHAnsi" w:hAnsiTheme="minorHAnsi" w:cstheme="minorHAnsi"/>
        </w:rPr>
      </w:pPr>
      <w:r w:rsidRPr="002E5180">
        <w:rPr>
          <w:rFonts w:asciiTheme="minorHAnsi" w:hAnsiTheme="minorHAnsi" w:cstheme="minorHAnsi"/>
        </w:rPr>
        <w:t>Plastic wordt gescheiden afgevoerd</w:t>
      </w:r>
    </w:p>
    <w:p w14:paraId="2F0D3563" w14:textId="25689E0E" w:rsidR="007D348D" w:rsidRPr="002E5180" w:rsidRDefault="007D348D" w:rsidP="006C0E57">
      <w:pPr>
        <w:numPr>
          <w:ilvl w:val="0"/>
          <w:numId w:val="5"/>
        </w:numPr>
        <w:shd w:val="clear" w:color="auto" w:fill="FFFFFF"/>
        <w:spacing w:line="240" w:lineRule="auto"/>
        <w:contextualSpacing/>
        <w:rPr>
          <w:rFonts w:asciiTheme="minorHAnsi" w:hAnsiTheme="minorHAnsi" w:cstheme="minorHAnsi"/>
        </w:rPr>
      </w:pPr>
      <w:r w:rsidRPr="002E5180">
        <w:rPr>
          <w:rFonts w:asciiTheme="minorHAnsi" w:hAnsiTheme="minorHAnsi" w:cstheme="minorHAnsi"/>
        </w:rPr>
        <w:t>Glas wordt gescheiden afgevoerd</w:t>
      </w:r>
    </w:p>
    <w:p w14:paraId="3984558E" w14:textId="339B3454" w:rsidR="007D348D" w:rsidRPr="002E5180" w:rsidRDefault="007D348D" w:rsidP="006C0E57">
      <w:pPr>
        <w:numPr>
          <w:ilvl w:val="0"/>
          <w:numId w:val="5"/>
        </w:numPr>
        <w:shd w:val="clear" w:color="auto" w:fill="FFFFFF"/>
        <w:spacing w:line="240" w:lineRule="auto"/>
        <w:contextualSpacing/>
        <w:rPr>
          <w:rFonts w:asciiTheme="minorHAnsi" w:hAnsiTheme="minorHAnsi" w:cstheme="minorHAnsi"/>
        </w:rPr>
      </w:pPr>
      <w:r w:rsidRPr="002E5180">
        <w:rPr>
          <w:rFonts w:asciiTheme="minorHAnsi" w:hAnsiTheme="minorHAnsi" w:cstheme="minorHAnsi"/>
        </w:rPr>
        <w:t>Toners worden ingezameld voor stichting Aap</w:t>
      </w:r>
    </w:p>
    <w:p w14:paraId="5C195ED6" w14:textId="77777777" w:rsidR="00376230" w:rsidRPr="00F06F04" w:rsidRDefault="00376230" w:rsidP="00376230">
      <w:pPr>
        <w:shd w:val="clear" w:color="auto" w:fill="FFFFFF"/>
        <w:rPr>
          <w:rFonts w:ascii="Lucida Sans Unicode" w:hAnsi="Lucida Sans Unicode" w:cs="Lucida Sans Unicode"/>
          <w:color w:val="FF0000"/>
          <w:u w:val="single"/>
        </w:rPr>
      </w:pPr>
    </w:p>
    <w:p w14:paraId="0A42AC8D" w14:textId="77777777" w:rsidR="00376230" w:rsidRPr="00374B88" w:rsidRDefault="00376230" w:rsidP="00DB2B22">
      <w:pPr>
        <w:pStyle w:val="MOBSubparagraaf"/>
      </w:pPr>
      <w:r w:rsidRPr="00374B88">
        <w:t>Scope 2</w:t>
      </w:r>
    </w:p>
    <w:p w14:paraId="3AE24DAA" w14:textId="257A6782" w:rsidR="00376230" w:rsidRPr="00EA7FAD" w:rsidRDefault="00376230" w:rsidP="008E7137">
      <w:pPr>
        <w:rPr>
          <w:rFonts w:eastAsia="Calibri"/>
          <w:lang w:eastAsia="en-US"/>
        </w:rPr>
      </w:pPr>
      <w:r w:rsidRPr="00EA7FAD">
        <w:rPr>
          <w:rFonts w:eastAsia="Calibri"/>
          <w:lang w:eastAsia="en-US"/>
        </w:rPr>
        <w:t xml:space="preserve">Elektriciteit wordt gebruikt voor de apparaten (computers, printers, koffiezetapparatuur, </w:t>
      </w:r>
      <w:r w:rsidR="008C6D34" w:rsidRPr="00EA7FAD">
        <w:rPr>
          <w:rFonts w:eastAsia="Calibri"/>
          <w:lang w:eastAsia="en-US"/>
        </w:rPr>
        <w:t xml:space="preserve">airco, </w:t>
      </w:r>
      <w:r w:rsidRPr="00EA7FAD">
        <w:rPr>
          <w:rFonts w:eastAsia="Calibri"/>
          <w:lang w:eastAsia="en-US"/>
        </w:rPr>
        <w:t>koelkast, vaatwasser) op kantoor en de verlichting.</w:t>
      </w:r>
    </w:p>
    <w:p w14:paraId="16CA49F1" w14:textId="77777777" w:rsidR="00376230" w:rsidRPr="00EA7FAD" w:rsidRDefault="00376230" w:rsidP="008E7137">
      <w:pPr>
        <w:rPr>
          <w:rFonts w:eastAsia="Calibri"/>
          <w:lang w:eastAsia="en-US"/>
        </w:rPr>
      </w:pPr>
      <w:r w:rsidRPr="00EA7FAD">
        <w:rPr>
          <w:rFonts w:eastAsia="Calibri"/>
          <w:lang w:eastAsia="en-US"/>
        </w:rPr>
        <w:t>Alle lampen zijn uitgevoerd in ledverlichting en waar mogelijk c.q. zinvol zijn bewegingssensoren toegepast.</w:t>
      </w:r>
    </w:p>
    <w:p w14:paraId="69834FCE" w14:textId="77777777" w:rsidR="00376230" w:rsidRPr="00EA7FAD" w:rsidRDefault="00376230" w:rsidP="008E7137">
      <w:pPr>
        <w:rPr>
          <w:rFonts w:eastAsia="Calibri"/>
          <w:lang w:eastAsia="en-US"/>
        </w:rPr>
      </w:pPr>
    </w:p>
    <w:p w14:paraId="6D9986F2" w14:textId="46900FDB" w:rsidR="00376230" w:rsidRPr="00EA7FAD" w:rsidRDefault="00376230" w:rsidP="008E7137">
      <w:pPr>
        <w:rPr>
          <w:rFonts w:eastAsia="Calibri"/>
          <w:lang w:eastAsia="en-US"/>
        </w:rPr>
      </w:pPr>
      <w:r w:rsidRPr="00EA7FAD">
        <w:rPr>
          <w:rFonts w:eastAsia="Calibri"/>
          <w:lang w:eastAsia="en-US"/>
        </w:rPr>
        <w:t>Daarnaast worden de elektrische voertuigen opgeladen</w:t>
      </w:r>
      <w:r w:rsidR="007D348D" w:rsidRPr="00EA7FAD">
        <w:rPr>
          <w:rFonts w:eastAsia="Calibri"/>
          <w:lang w:eastAsia="en-US"/>
        </w:rPr>
        <w:t>.</w:t>
      </w:r>
      <w:r w:rsidRPr="00EA7FAD">
        <w:rPr>
          <w:rFonts w:eastAsia="Calibri"/>
          <w:lang w:eastAsia="en-US"/>
        </w:rPr>
        <w:t xml:space="preserve"> </w:t>
      </w:r>
    </w:p>
    <w:p w14:paraId="2AFA610F" w14:textId="0E5D09AE" w:rsidR="00376230" w:rsidRPr="00EA7FAD" w:rsidRDefault="00376230" w:rsidP="008E7137">
      <w:pPr>
        <w:rPr>
          <w:rFonts w:eastAsia="Calibri"/>
          <w:lang w:eastAsia="en-US"/>
        </w:rPr>
      </w:pPr>
      <w:r w:rsidRPr="00EA7FAD">
        <w:rPr>
          <w:rFonts w:eastAsia="Calibri"/>
          <w:lang w:eastAsia="en-US"/>
        </w:rPr>
        <w:t>Het opladen van de elektrische voertuigen bij derden zal ook onder scope 2 onder een aparte categorie worden opgenomen.</w:t>
      </w:r>
    </w:p>
    <w:p w14:paraId="1ADA5795" w14:textId="77777777" w:rsidR="00387DC6" w:rsidRPr="00EA7FAD" w:rsidRDefault="00387DC6" w:rsidP="008E7137">
      <w:pPr>
        <w:rPr>
          <w:rFonts w:eastAsia="Calibri"/>
          <w:lang w:eastAsia="en-US"/>
        </w:rPr>
      </w:pPr>
    </w:p>
    <w:p w14:paraId="30F65149" w14:textId="460A5FA6" w:rsidR="00387DC6" w:rsidRPr="008E7137" w:rsidRDefault="003E7E8E" w:rsidP="008E7137">
      <w:pPr>
        <w:rPr>
          <w:rFonts w:eastAsia="Calibri"/>
          <w:lang w:eastAsia="en-US"/>
        </w:rPr>
      </w:pPr>
      <w:r w:rsidRPr="00EA7FAD">
        <w:rPr>
          <w:rFonts w:eastAsia="Calibri"/>
          <w:lang w:eastAsia="en-US"/>
        </w:rPr>
        <w:t>Afgelopen periode is bij de verhuurder van het pand “Hanz” in Zwolle uitgevraagd wat voor type stroom er geleverd wordt aan het verzamelpand. Hieruit is naar voren gekomen dat dit pand volledig voorzien wordt van groene stroom</w:t>
      </w:r>
      <w:r w:rsidR="003C594A">
        <w:rPr>
          <w:rFonts w:eastAsia="Calibri"/>
          <w:lang w:eastAsia="en-US"/>
        </w:rPr>
        <w:t xml:space="preserve">, maar deze stroom komt niet uit Nederland. We kunnen deze daardoor niet als groene stroom opnemen in de documentatie. </w:t>
      </w:r>
    </w:p>
    <w:p w14:paraId="7601B58F" w14:textId="48891007" w:rsidR="00374B88" w:rsidRDefault="00374B88">
      <w:pPr>
        <w:spacing w:line="240" w:lineRule="auto"/>
        <w:rPr>
          <w:rFonts w:cs="Arial"/>
          <w:b/>
          <w:color w:val="87AF3E"/>
          <w:szCs w:val="20"/>
        </w:rPr>
      </w:pPr>
    </w:p>
    <w:p w14:paraId="626A4787" w14:textId="16131B0E" w:rsidR="00376230" w:rsidRPr="00374B88" w:rsidRDefault="00376230" w:rsidP="00DB2B22">
      <w:pPr>
        <w:pStyle w:val="MOBSubparagraaf"/>
      </w:pPr>
      <w:r w:rsidRPr="00374B88">
        <w:t>Bedrijfsgrootte</w:t>
      </w:r>
    </w:p>
    <w:p w14:paraId="140D7285" w14:textId="5B4D27CA" w:rsidR="00376230" w:rsidRDefault="00376230" w:rsidP="00374B88">
      <w:pPr>
        <w:rPr>
          <w:rFonts w:eastAsia="Calibri"/>
          <w:lang w:eastAsia="en-US"/>
        </w:rPr>
      </w:pPr>
      <w:r w:rsidRPr="008E7137">
        <w:rPr>
          <w:rFonts w:eastAsia="Calibri"/>
          <w:lang w:eastAsia="en-US"/>
        </w:rPr>
        <w:t>De bijbehorende bedrijfsgrootte volgens de criteria van tabel 4.1 van het handboek versie 3.</w:t>
      </w:r>
      <w:r w:rsidR="003C594A">
        <w:rPr>
          <w:rFonts w:eastAsia="Calibri"/>
          <w:lang w:eastAsia="en-US"/>
        </w:rPr>
        <w:t>1</w:t>
      </w:r>
      <w:r w:rsidRPr="008E7137">
        <w:rPr>
          <w:rFonts w:eastAsia="Calibri"/>
          <w:lang w:eastAsia="en-US"/>
        </w:rPr>
        <w:t xml:space="preserve"> is “Klein bedrijf”.</w:t>
      </w:r>
    </w:p>
    <w:p w14:paraId="72381667" w14:textId="77777777" w:rsidR="00EA5A9F" w:rsidRPr="008E7137" w:rsidRDefault="00EA5A9F" w:rsidP="00374B88">
      <w:pPr>
        <w:rPr>
          <w:rFonts w:eastAsia="Calibri"/>
          <w:lang w:eastAsia="en-US"/>
        </w:rPr>
      </w:pPr>
    </w:p>
    <w:p w14:paraId="62EF0319" w14:textId="77777777" w:rsidR="00376230" w:rsidRPr="00374B88" w:rsidRDefault="00376230" w:rsidP="00DB2B22">
      <w:pPr>
        <w:pStyle w:val="MOBSubparagraaf"/>
      </w:pPr>
      <w:r w:rsidRPr="00374B88">
        <w:t>Verificatie</w:t>
      </w:r>
    </w:p>
    <w:p w14:paraId="4AC6B2F1" w14:textId="6B8C7111" w:rsidR="00376230" w:rsidRPr="008E7137" w:rsidRDefault="00376230" w:rsidP="00376230">
      <w:pPr>
        <w:rPr>
          <w:rFonts w:eastAsia="Calibri"/>
          <w:lang w:eastAsia="en-US"/>
        </w:rPr>
      </w:pPr>
      <w:r w:rsidRPr="008E7137">
        <w:rPr>
          <w:rFonts w:eastAsia="Calibri"/>
          <w:lang w:eastAsia="en-US"/>
        </w:rPr>
        <w:lastRenderedPageBreak/>
        <w:t xml:space="preserve">Eis 3.A.2, verificatie emissie inventaris. De directie heeft er voor </w:t>
      </w:r>
      <w:r w:rsidRPr="002006D3">
        <w:rPr>
          <w:rFonts w:eastAsia="Calibri"/>
          <w:lang w:eastAsia="en-US"/>
        </w:rPr>
        <w:t>gekozen haar emissie-inventaris niet</w:t>
      </w:r>
      <w:r w:rsidRPr="008E7137">
        <w:rPr>
          <w:rFonts w:eastAsia="Calibri"/>
          <w:lang w:eastAsia="en-US"/>
        </w:rPr>
        <w:t xml:space="preserve"> door een CI / NEA-erkend bureau te laten verifiëren. </w:t>
      </w:r>
    </w:p>
    <w:p w14:paraId="281F854E" w14:textId="672C1DC9" w:rsidR="003F3890" w:rsidRDefault="003F3890">
      <w:pPr>
        <w:spacing w:line="240" w:lineRule="auto"/>
        <w:rPr>
          <w:rFonts w:cs="Arial"/>
          <w:b/>
          <w:color w:val="87AF3E"/>
          <w:sz w:val="26"/>
          <w:szCs w:val="26"/>
        </w:rPr>
      </w:pPr>
      <w:bookmarkStart w:id="17" w:name="_Toc280352955"/>
      <w:bookmarkStart w:id="18" w:name="_Toc298250970"/>
      <w:bookmarkStart w:id="19" w:name="_Toc327715422"/>
      <w:bookmarkStart w:id="20" w:name="_Toc85118620"/>
    </w:p>
    <w:p w14:paraId="43CBB70B" w14:textId="7BBD4C28" w:rsidR="00376230" w:rsidRPr="00374B88" w:rsidRDefault="00376230" w:rsidP="00374B88">
      <w:pPr>
        <w:pStyle w:val="MOBParagraaf"/>
        <w:ind w:left="578" w:hanging="578"/>
      </w:pPr>
      <w:r w:rsidRPr="00374B88">
        <w:t>Verbranding biomassa</w:t>
      </w:r>
      <w:bookmarkEnd w:id="17"/>
      <w:bookmarkEnd w:id="18"/>
      <w:bookmarkEnd w:id="19"/>
      <w:bookmarkEnd w:id="20"/>
    </w:p>
    <w:p w14:paraId="41F6A2CB" w14:textId="091161C6" w:rsidR="00376230" w:rsidRPr="008E7137" w:rsidRDefault="00376230" w:rsidP="00374B88">
      <w:pPr>
        <w:rPr>
          <w:rFonts w:eastAsia="Calibri"/>
          <w:lang w:eastAsia="en-US"/>
        </w:rPr>
      </w:pPr>
      <w:r w:rsidRPr="008E7137">
        <w:rPr>
          <w:rFonts w:eastAsia="Calibri"/>
          <w:lang w:eastAsia="en-US"/>
        </w:rPr>
        <w:t>Verbranding van biomassa vond niet plaats in 20</w:t>
      </w:r>
      <w:r w:rsidR="008C6D34">
        <w:rPr>
          <w:rFonts w:eastAsia="Calibri"/>
          <w:lang w:eastAsia="en-US"/>
        </w:rPr>
        <w:t>2</w:t>
      </w:r>
      <w:r w:rsidR="00375C15">
        <w:rPr>
          <w:rFonts w:eastAsia="Calibri"/>
          <w:lang w:eastAsia="en-US"/>
        </w:rPr>
        <w:t>4</w:t>
      </w:r>
      <w:r w:rsidRPr="008E7137">
        <w:rPr>
          <w:rFonts w:eastAsia="Calibri"/>
          <w:lang w:eastAsia="en-US"/>
        </w:rPr>
        <w:t xml:space="preserve"> of voorgaande jaren en er is ook niet de intentie dat te gaan doen.</w:t>
      </w:r>
      <w:bookmarkStart w:id="21" w:name="_Toc280352956"/>
      <w:bookmarkStart w:id="22" w:name="_Toc298250971"/>
      <w:bookmarkStart w:id="23" w:name="_Toc327715423"/>
    </w:p>
    <w:p w14:paraId="2DD00D4E" w14:textId="77777777" w:rsidR="00376230" w:rsidRPr="00374B88" w:rsidRDefault="00376230" w:rsidP="00374B88">
      <w:pPr>
        <w:pStyle w:val="MOBParagraaf"/>
        <w:ind w:left="578" w:hanging="578"/>
      </w:pPr>
      <w:bookmarkStart w:id="24" w:name="_Toc85118621"/>
      <w:r w:rsidRPr="00374B88">
        <w:t>GHG verwijderingen</w:t>
      </w:r>
      <w:bookmarkEnd w:id="21"/>
      <w:bookmarkEnd w:id="22"/>
      <w:bookmarkEnd w:id="23"/>
      <w:bookmarkEnd w:id="24"/>
    </w:p>
    <w:p w14:paraId="595C2A53" w14:textId="2FB9E25B" w:rsidR="00376230" w:rsidRPr="008E7137" w:rsidRDefault="00376230" w:rsidP="00376230">
      <w:pPr>
        <w:rPr>
          <w:rFonts w:eastAsia="Calibri"/>
          <w:lang w:eastAsia="en-US"/>
        </w:rPr>
      </w:pPr>
      <w:r w:rsidRPr="008E7137">
        <w:rPr>
          <w:rFonts w:eastAsia="Calibri"/>
          <w:lang w:eastAsia="en-US"/>
        </w:rPr>
        <w:t>Er heeft geen broeikasgasverwijdering of compensatie plaats gevonden in 202</w:t>
      </w:r>
      <w:r w:rsidR="00375C15">
        <w:rPr>
          <w:rFonts w:eastAsia="Calibri"/>
          <w:lang w:eastAsia="en-US"/>
        </w:rPr>
        <w:t>4</w:t>
      </w:r>
      <w:r w:rsidRPr="008E7137">
        <w:rPr>
          <w:rFonts w:eastAsia="Calibri"/>
          <w:lang w:eastAsia="en-US"/>
        </w:rPr>
        <w:t xml:space="preserve"> of voorgaande jaren en er is ook geen intentie dit te gaan doen. </w:t>
      </w:r>
    </w:p>
    <w:p w14:paraId="3FD0980E" w14:textId="77777777" w:rsidR="00376230" w:rsidRPr="00374B88" w:rsidRDefault="00376230" w:rsidP="00374B88">
      <w:pPr>
        <w:pStyle w:val="MOBParagraaf"/>
        <w:ind w:left="578" w:hanging="578"/>
      </w:pPr>
      <w:bookmarkStart w:id="25" w:name="_Toc280352957"/>
      <w:bookmarkStart w:id="26" w:name="_Toc298250972"/>
      <w:bookmarkStart w:id="27" w:name="_Toc327715424"/>
      <w:bookmarkStart w:id="28" w:name="_Toc85118622"/>
      <w:r w:rsidRPr="00374B88">
        <w:t>Uitsluitingen</w:t>
      </w:r>
      <w:bookmarkEnd w:id="25"/>
      <w:bookmarkEnd w:id="26"/>
      <w:bookmarkEnd w:id="27"/>
      <w:bookmarkEnd w:id="28"/>
    </w:p>
    <w:p w14:paraId="2AB795B4" w14:textId="788EDAAB" w:rsidR="00376230" w:rsidRPr="008E7137" w:rsidRDefault="00376230" w:rsidP="00376230">
      <w:pPr>
        <w:rPr>
          <w:rFonts w:eastAsia="Calibri"/>
          <w:lang w:eastAsia="en-US"/>
        </w:rPr>
      </w:pPr>
      <w:r w:rsidRPr="008E7137">
        <w:rPr>
          <w:rFonts w:eastAsia="Calibri"/>
          <w:lang w:eastAsia="en-US"/>
        </w:rPr>
        <w:t xml:space="preserve">Koudemiddelen zijn niet aanwezig. </w:t>
      </w:r>
    </w:p>
    <w:p w14:paraId="5FF6D834" w14:textId="47AF85D2" w:rsidR="00376230" w:rsidRPr="00374B88" w:rsidRDefault="00376230" w:rsidP="00374B88">
      <w:pPr>
        <w:pStyle w:val="MOBParagraaf"/>
        <w:ind w:left="578" w:hanging="578"/>
      </w:pPr>
      <w:bookmarkStart w:id="29" w:name="_Toc280352958"/>
      <w:bookmarkStart w:id="30" w:name="_Toc298250973"/>
      <w:bookmarkStart w:id="31" w:name="_Toc327715425"/>
      <w:bookmarkStart w:id="32" w:name="_Toc85118623"/>
      <w:r w:rsidRPr="00374B88">
        <w:t xml:space="preserve">Belangrijkste </w:t>
      </w:r>
      <w:bookmarkEnd w:id="29"/>
      <w:bookmarkEnd w:id="30"/>
      <w:bookmarkEnd w:id="31"/>
      <w:r w:rsidR="008E7137" w:rsidRPr="00374B88">
        <w:t>beïnvloede</w:t>
      </w:r>
      <w:r w:rsidR="008E7137">
        <w:t>rs</w:t>
      </w:r>
      <w:bookmarkEnd w:id="32"/>
    </w:p>
    <w:p w14:paraId="45302B17" w14:textId="0237876C" w:rsidR="00376230" w:rsidRPr="008E7137" w:rsidRDefault="00376230" w:rsidP="00376230">
      <w:pPr>
        <w:rPr>
          <w:rFonts w:eastAsia="Calibri"/>
          <w:lang w:eastAsia="en-US"/>
        </w:rPr>
      </w:pPr>
      <w:r w:rsidRPr="008E7137">
        <w:rPr>
          <w:rFonts w:eastAsia="Calibri"/>
          <w:lang w:eastAsia="en-US"/>
        </w:rPr>
        <w:t xml:space="preserve">Binnen Mobycon zijn geen individuele personen te benoemen die een dermate invloed op de </w:t>
      </w:r>
      <w:r w:rsidR="00261F55">
        <w:rPr>
          <w:rFonts w:eastAsia="Calibri"/>
          <w:lang w:eastAsia="en-US"/>
        </w:rPr>
        <w:t>CO2</w:t>
      </w:r>
      <w:r w:rsidRPr="008E7137">
        <w:rPr>
          <w:rFonts w:eastAsia="Calibri"/>
          <w:lang w:eastAsia="en-US"/>
        </w:rPr>
        <w:t xml:space="preserve"> footprint hebben dat gedragsverandering van deze individuele persoon alleen al zou zorgen voor een significante verandering in de </w:t>
      </w:r>
      <w:r w:rsidR="00261F55">
        <w:rPr>
          <w:rFonts w:eastAsia="Calibri"/>
          <w:lang w:eastAsia="en-US"/>
        </w:rPr>
        <w:t>CO2</w:t>
      </w:r>
      <w:r w:rsidRPr="008E7137">
        <w:rPr>
          <w:rFonts w:eastAsia="Calibri"/>
          <w:lang w:eastAsia="en-US"/>
        </w:rPr>
        <w:t xml:space="preserve"> footprint. Wel zijn er collectieve gedragingen die kunnen zorgen voor significante reductie. Denk daarbij aan het uitzetten van apparatuur die niet gebruikt wordt, verlichting uitdoen als men weggaat.</w:t>
      </w:r>
      <w:r w:rsidR="0079728E">
        <w:rPr>
          <w:rFonts w:eastAsia="Calibri"/>
          <w:lang w:eastAsia="en-US"/>
        </w:rPr>
        <w:t xml:space="preserve"> Ook de realiseren we de grootste reductie middels de wijze van vervoeren. </w:t>
      </w:r>
    </w:p>
    <w:p w14:paraId="63F1ECEA" w14:textId="77777777" w:rsidR="00376230" w:rsidRPr="00374B88" w:rsidRDefault="00376230" w:rsidP="00374B88">
      <w:pPr>
        <w:pStyle w:val="MOBParagraaf"/>
        <w:ind w:left="578" w:hanging="578"/>
      </w:pPr>
      <w:bookmarkStart w:id="33" w:name="_Toc280352959"/>
      <w:bookmarkStart w:id="34" w:name="_Toc298250974"/>
      <w:bookmarkStart w:id="35" w:name="_Toc327715426"/>
      <w:bookmarkStart w:id="36" w:name="_Toc85118624"/>
      <w:r w:rsidRPr="00374B88">
        <w:t>Toekomst</w:t>
      </w:r>
      <w:bookmarkEnd w:id="33"/>
      <w:bookmarkEnd w:id="34"/>
      <w:bookmarkEnd w:id="35"/>
      <w:bookmarkEnd w:id="36"/>
    </w:p>
    <w:p w14:paraId="31784CC0" w14:textId="113619B5" w:rsidR="00C42EEB" w:rsidRDefault="00376230" w:rsidP="00FA5DD5">
      <w:pPr>
        <w:rPr>
          <w:rFonts w:eastAsia="Calibri"/>
          <w:lang w:eastAsia="en-US"/>
        </w:rPr>
      </w:pPr>
      <w:r w:rsidRPr="00FA5DD5">
        <w:rPr>
          <w:rFonts w:eastAsia="Calibri"/>
          <w:lang w:eastAsia="en-US"/>
        </w:rPr>
        <w:t>De emissie in de paragrafen hierboven zijn vastgesteld voor het jaar 20</w:t>
      </w:r>
      <w:r w:rsidR="008C6D34" w:rsidRPr="00FA5DD5">
        <w:rPr>
          <w:rFonts w:eastAsia="Calibri"/>
          <w:lang w:eastAsia="en-US"/>
        </w:rPr>
        <w:t>2</w:t>
      </w:r>
      <w:r w:rsidR="00B2616E">
        <w:rPr>
          <w:rFonts w:eastAsia="Calibri"/>
          <w:lang w:eastAsia="en-US"/>
        </w:rPr>
        <w:t>4</w:t>
      </w:r>
      <w:r w:rsidRPr="00FA5DD5">
        <w:rPr>
          <w:rFonts w:eastAsia="Calibri"/>
          <w:lang w:eastAsia="en-US"/>
        </w:rPr>
        <w:t>. De verwachting is dat deze emissie in het komende jaar, 202</w:t>
      </w:r>
      <w:r w:rsidR="00B2616E">
        <w:rPr>
          <w:rFonts w:eastAsia="Calibri"/>
          <w:lang w:eastAsia="en-US"/>
        </w:rPr>
        <w:t>5</w:t>
      </w:r>
      <w:r w:rsidR="004E3989">
        <w:rPr>
          <w:rFonts w:eastAsia="Calibri"/>
          <w:lang w:eastAsia="en-US"/>
        </w:rPr>
        <w:t>,</w:t>
      </w:r>
      <w:r w:rsidRPr="00FA5DD5">
        <w:rPr>
          <w:rFonts w:eastAsia="Calibri"/>
          <w:lang w:eastAsia="en-US"/>
        </w:rPr>
        <w:t xml:space="preserve"> niet aan grote verandering onderhevig zal zijn. Er worden nu al elektrische voertuigen en hulpmiddelen aangeschaft. Bij iedere vervanging van middelen zal daar steeds bewust over worden nagedacht. </w:t>
      </w:r>
      <w:r w:rsidR="006D74AB" w:rsidRPr="00FA5DD5">
        <w:rPr>
          <w:rFonts w:eastAsia="Calibri"/>
          <w:lang w:eastAsia="en-US"/>
        </w:rPr>
        <w:t xml:space="preserve">De eigenaar van het pand in Delft heeft </w:t>
      </w:r>
      <w:r w:rsidR="00E940F1" w:rsidRPr="00FA5DD5">
        <w:rPr>
          <w:rFonts w:eastAsia="Calibri"/>
          <w:lang w:eastAsia="en-US"/>
        </w:rPr>
        <w:t xml:space="preserve">het pand </w:t>
      </w:r>
      <w:r w:rsidR="006D74AB" w:rsidRPr="00FA5DD5">
        <w:rPr>
          <w:rFonts w:eastAsia="Calibri"/>
          <w:lang w:eastAsia="en-US"/>
        </w:rPr>
        <w:t>laten</w:t>
      </w:r>
      <w:r w:rsidR="00E940F1" w:rsidRPr="00FA5DD5">
        <w:rPr>
          <w:rFonts w:eastAsia="Calibri"/>
          <w:lang w:eastAsia="en-US"/>
        </w:rPr>
        <w:t xml:space="preserve"> voorzien van zonnepanelen</w:t>
      </w:r>
      <w:r w:rsidR="006D74AB" w:rsidRPr="00FA5DD5">
        <w:rPr>
          <w:rFonts w:eastAsia="Calibri"/>
          <w:lang w:eastAsia="en-US"/>
        </w:rPr>
        <w:t>.</w:t>
      </w:r>
      <w:r w:rsidR="00C42EEB">
        <w:rPr>
          <w:rFonts w:eastAsia="Calibri"/>
          <w:lang w:eastAsia="en-US"/>
        </w:rPr>
        <w:t xml:space="preserve"> </w:t>
      </w:r>
      <w:r w:rsidR="00C42EEB" w:rsidRPr="00FA5DD5">
        <w:rPr>
          <w:rFonts w:eastAsia="Calibri"/>
          <w:lang w:eastAsia="en-US"/>
        </w:rPr>
        <w:t>In Delft is alle stroom al groen en wordt opgewekt door waterkrachtcentrales in Scandinavië.</w:t>
      </w:r>
    </w:p>
    <w:p w14:paraId="6AAAB017" w14:textId="77777777" w:rsidR="00C42EEB" w:rsidRDefault="00C42EEB" w:rsidP="00FA5DD5">
      <w:pPr>
        <w:rPr>
          <w:rFonts w:eastAsia="Calibri"/>
          <w:lang w:eastAsia="en-US"/>
        </w:rPr>
      </w:pPr>
    </w:p>
    <w:p w14:paraId="32C61E3A" w14:textId="63321FFC" w:rsidR="00C42EEB" w:rsidRDefault="00C42EEB" w:rsidP="00C42EEB">
      <w:pPr>
        <w:rPr>
          <w:rFonts w:eastAsia="Calibri"/>
          <w:lang w:eastAsia="en-US"/>
        </w:rPr>
      </w:pPr>
      <w:r w:rsidRPr="00C42EEB">
        <w:rPr>
          <w:rFonts w:eastAsia="Calibri"/>
          <w:lang w:eastAsia="en-US"/>
        </w:rPr>
        <w:t>Mobycon Den Bosch is sinds mei 2024 gevestigd in het pand van CINOP, Stationsplein 18. Het pand is gelegen naast het Centraal Station in Den Bosch waardoor de meeste werknemers met de trein en/of bus naar het werk komen. Er is parkeergelegenheid in de P&amp;R op loopafstand van het kantoor. Werknemers worden met name gestimuleerd om het ov te gebruiken of met de fiets/te voet naar kantoor te komen. Op de 2e etage bevindt zich het kantoor van Mobycon met zo'n 25 werkplekken (405m2 incl. toebedeling algemene ruimte) en 6 kleine vergaderruimtes (1-4 personen), 1 grote vergaderruimte (10 personen) en een open ruimte voor grote groepen (50 personen). </w:t>
      </w:r>
    </w:p>
    <w:p w14:paraId="01698ADE" w14:textId="77777777" w:rsidR="00C42EEB" w:rsidRDefault="00C42EEB" w:rsidP="00C42EEB">
      <w:pPr>
        <w:rPr>
          <w:rFonts w:eastAsia="Calibri"/>
          <w:lang w:eastAsia="en-US"/>
        </w:rPr>
      </w:pPr>
    </w:p>
    <w:p w14:paraId="08FDE7D3" w14:textId="5C570F7E" w:rsidR="00C42EEB" w:rsidRPr="00C42EEB" w:rsidRDefault="00C42EEB" w:rsidP="00C42EEB">
      <w:pPr>
        <w:rPr>
          <w:rFonts w:eastAsia="Calibri"/>
          <w:lang w:eastAsia="en-US"/>
        </w:rPr>
      </w:pPr>
      <w:r w:rsidRPr="00C42EEB">
        <w:rPr>
          <w:rFonts w:eastAsia="Calibri"/>
          <w:lang w:eastAsia="en-US"/>
        </w:rPr>
        <w:t>Voor het pand van CINOP in Den Bosch is duurzaamheid uiterst belangrijk. Het pand is voorzien van 37 zonnepanelen, heeft geen gasaansluiting, werkt met 2 warmtepompen op het dat met daarop kleine warmtepompen die per ruimte zijn aangesloten. Verlichting (overigens geen LED) is voorzien van bewegingssensoren en heeft een daglichtregeling. De lift werkt energiezuinig en wekt elektra op bij gebruik ervan. Waterbesparend sanitair en het pand is voorzien van BREEAM-NL certificaat ***, heeft een groenverklaring en energielabel A+.</w:t>
      </w:r>
    </w:p>
    <w:p w14:paraId="6216A1E1" w14:textId="77777777" w:rsidR="00C42EEB" w:rsidRDefault="00C42EEB" w:rsidP="00FA5DD5">
      <w:pPr>
        <w:rPr>
          <w:rFonts w:eastAsia="Calibri"/>
          <w:lang w:eastAsia="en-US"/>
        </w:rPr>
      </w:pPr>
    </w:p>
    <w:p w14:paraId="47B7183D" w14:textId="76F19180" w:rsidR="00376230" w:rsidRPr="008E7137" w:rsidRDefault="00FA5DD5" w:rsidP="00FA5DD5">
      <w:pPr>
        <w:rPr>
          <w:rFonts w:eastAsia="Calibri"/>
          <w:lang w:eastAsia="en-US"/>
        </w:rPr>
      </w:pPr>
      <w:r>
        <w:rPr>
          <w:rFonts w:eastAsia="Calibri"/>
          <w:lang w:eastAsia="en-US"/>
        </w:rPr>
        <w:t xml:space="preserve">Omdat onze impact met name te behalen is in de mobiliteit van (onze) medewerkers, blijven wij hierop sturen en mogelijkheden aanbieden om zo veel mogelijk met het ov </w:t>
      </w:r>
      <w:r w:rsidR="00387892">
        <w:rPr>
          <w:rFonts w:eastAsia="Calibri"/>
          <w:lang w:eastAsia="en-US"/>
        </w:rPr>
        <w:t xml:space="preserve">te reizen. </w:t>
      </w:r>
      <w:r w:rsidR="0079728E">
        <w:rPr>
          <w:rFonts w:eastAsia="Calibri"/>
          <w:lang w:eastAsia="en-US"/>
        </w:rPr>
        <w:t xml:space="preserve">We verwachten hiermee dat onze CO2-emissie gelijk blijft of zelfs verbeterd. </w:t>
      </w:r>
    </w:p>
    <w:p w14:paraId="5CA44082" w14:textId="77777777" w:rsidR="002975A2" w:rsidRPr="00F06F04" w:rsidRDefault="002975A2" w:rsidP="00376230">
      <w:pPr>
        <w:rPr>
          <w:rFonts w:ascii="Lucida Sans Unicode" w:hAnsi="Lucida Sans Unicode" w:cs="Lucida Sans Unicode"/>
        </w:rPr>
      </w:pPr>
    </w:p>
    <w:p w14:paraId="5629CA01" w14:textId="77777777" w:rsidR="00376230" w:rsidRPr="00374B88" w:rsidRDefault="00376230" w:rsidP="00374B88">
      <w:pPr>
        <w:pStyle w:val="MOBParagraaf"/>
        <w:ind w:left="578" w:hanging="578"/>
      </w:pPr>
      <w:bookmarkStart w:id="37" w:name="_Toc298250975"/>
      <w:bookmarkStart w:id="38" w:name="_Toc327715427"/>
      <w:bookmarkStart w:id="39" w:name="_Toc85118625"/>
      <w:r w:rsidRPr="00374B88">
        <w:t>Significante veranderingen</w:t>
      </w:r>
      <w:bookmarkEnd w:id="37"/>
      <w:bookmarkEnd w:id="38"/>
      <w:bookmarkEnd w:id="39"/>
    </w:p>
    <w:p w14:paraId="1C376D25" w14:textId="5DF37891" w:rsidR="00376230" w:rsidRPr="008E7137" w:rsidRDefault="005F7BBC" w:rsidP="00376230">
      <w:pPr>
        <w:rPr>
          <w:rFonts w:eastAsia="Calibri"/>
          <w:lang w:eastAsia="en-US"/>
        </w:rPr>
      </w:pPr>
      <w:r>
        <w:rPr>
          <w:rFonts w:eastAsia="Calibri"/>
          <w:lang w:eastAsia="en-US"/>
        </w:rPr>
        <w:t>In mei 2024 zijn wij in Den Bosch verhuisd naar een nieuw pand.</w:t>
      </w:r>
    </w:p>
    <w:p w14:paraId="56DCA866" w14:textId="29E56EA2" w:rsidR="002975A2" w:rsidRDefault="002975A2" w:rsidP="00376230">
      <w:pPr>
        <w:rPr>
          <w:rFonts w:ascii="Lucida Sans Unicode" w:hAnsi="Lucida Sans Unicode" w:cs="Lucida Sans Unicode"/>
        </w:rPr>
      </w:pPr>
    </w:p>
    <w:p w14:paraId="0DC56FBE" w14:textId="77777777" w:rsidR="00376230" w:rsidRPr="00054618" w:rsidRDefault="00376230" w:rsidP="00374B88">
      <w:pPr>
        <w:pStyle w:val="MOBHoofdstuk"/>
      </w:pPr>
      <w:bookmarkStart w:id="40" w:name="_Toc85118626"/>
      <w:r w:rsidRPr="00054618">
        <w:lastRenderedPageBreak/>
        <w:t>Kwantificeringsmethoden</w:t>
      </w:r>
      <w:bookmarkEnd w:id="40"/>
    </w:p>
    <w:p w14:paraId="6A5C8438" w14:textId="1F1C0938" w:rsidR="00376230" w:rsidRPr="008E7137" w:rsidRDefault="00376230" w:rsidP="00376230">
      <w:pPr>
        <w:rPr>
          <w:rFonts w:eastAsia="Calibri"/>
          <w:lang w:eastAsia="en-US"/>
        </w:rPr>
      </w:pPr>
      <w:r w:rsidRPr="008E7137">
        <w:rPr>
          <w:rFonts w:eastAsia="Calibri"/>
          <w:lang w:eastAsia="en-US"/>
        </w:rPr>
        <w:t xml:space="preserve">Voor het kwantificeren van de </w:t>
      </w:r>
      <w:r w:rsidR="00261F55">
        <w:rPr>
          <w:rFonts w:eastAsia="Calibri"/>
          <w:lang w:eastAsia="en-US"/>
        </w:rPr>
        <w:t>CO2</w:t>
      </w:r>
      <w:r w:rsidRPr="008E7137">
        <w:rPr>
          <w:rFonts w:eastAsia="Calibri"/>
          <w:lang w:eastAsia="en-US"/>
        </w:rPr>
        <w:t xml:space="preserve"> uitstoot is gebruik gemaakt van een model van </w:t>
      </w:r>
      <w:r w:rsidR="00261F55">
        <w:rPr>
          <w:rFonts w:eastAsia="Calibri"/>
          <w:lang w:eastAsia="en-US"/>
        </w:rPr>
        <w:t>CO2</w:t>
      </w:r>
      <w:r w:rsidRPr="008E7137">
        <w:rPr>
          <w:rFonts w:eastAsia="Calibri"/>
          <w:lang w:eastAsia="en-US"/>
        </w:rPr>
        <w:t xml:space="preserve"> seminar.nl, met achterliggende bladen en overzichten en facturen vanuit de administratie.</w:t>
      </w:r>
    </w:p>
    <w:p w14:paraId="666A377C" w14:textId="77777777" w:rsidR="00376230" w:rsidRPr="00054618" w:rsidRDefault="00376230" w:rsidP="00374B88">
      <w:pPr>
        <w:pStyle w:val="MOBHoofdstuk"/>
      </w:pPr>
      <w:bookmarkStart w:id="41" w:name="_Toc85118627"/>
      <w:r w:rsidRPr="00054618">
        <w:lastRenderedPageBreak/>
        <w:t>Emissiefactoren</w:t>
      </w:r>
      <w:bookmarkEnd w:id="41"/>
    </w:p>
    <w:p w14:paraId="13DF75E1" w14:textId="43613203" w:rsidR="00376230" w:rsidRPr="008E7137" w:rsidRDefault="00376230" w:rsidP="00376230">
      <w:pPr>
        <w:rPr>
          <w:rFonts w:eastAsia="Calibri"/>
          <w:lang w:eastAsia="en-US"/>
        </w:rPr>
      </w:pPr>
      <w:r w:rsidRPr="008E7137">
        <w:rPr>
          <w:rFonts w:eastAsia="Calibri"/>
          <w:lang w:eastAsia="en-US"/>
        </w:rPr>
        <w:t xml:space="preserve">Voor de inventarisatie van de </w:t>
      </w:r>
      <w:r w:rsidR="00261F55">
        <w:rPr>
          <w:rFonts w:eastAsia="Calibri"/>
          <w:lang w:eastAsia="en-US"/>
        </w:rPr>
        <w:t>CO2</w:t>
      </w:r>
      <w:r w:rsidRPr="008E7137">
        <w:rPr>
          <w:rFonts w:eastAsia="Calibri"/>
          <w:lang w:eastAsia="en-US"/>
        </w:rPr>
        <w:t xml:space="preserve"> uitstoot over de jaren 2019</w:t>
      </w:r>
      <w:r w:rsidR="00B2616E">
        <w:rPr>
          <w:rFonts w:eastAsia="Calibri"/>
          <w:lang w:eastAsia="en-US"/>
        </w:rPr>
        <w:t xml:space="preserve"> – 2025 </w:t>
      </w:r>
      <w:r w:rsidRPr="008E7137">
        <w:rPr>
          <w:rFonts w:eastAsia="Calibri"/>
          <w:lang w:eastAsia="en-US"/>
        </w:rPr>
        <w:t xml:space="preserve">zijn de emissiefactoren uit de </w:t>
      </w:r>
      <w:r w:rsidR="00261F55">
        <w:rPr>
          <w:rFonts w:eastAsia="Calibri"/>
          <w:lang w:eastAsia="en-US"/>
        </w:rPr>
        <w:t>CO2</w:t>
      </w:r>
      <w:r w:rsidRPr="008E7137">
        <w:rPr>
          <w:rFonts w:eastAsia="Calibri"/>
          <w:lang w:eastAsia="en-US"/>
        </w:rPr>
        <w:t xml:space="preserve"> prestatieladder 3.1 gehanteerd. </w:t>
      </w:r>
    </w:p>
    <w:p w14:paraId="7EB9E671" w14:textId="77777777" w:rsidR="00376230" w:rsidRPr="008E7137" w:rsidRDefault="00376230" w:rsidP="00376230">
      <w:pPr>
        <w:rPr>
          <w:rFonts w:eastAsia="Calibri"/>
          <w:lang w:eastAsia="en-US"/>
        </w:rPr>
      </w:pPr>
    </w:p>
    <w:p w14:paraId="3CCA759C" w14:textId="485DA164" w:rsidR="00376230" w:rsidRPr="008E7137" w:rsidRDefault="00376230" w:rsidP="00376230">
      <w:pPr>
        <w:rPr>
          <w:rFonts w:eastAsia="Calibri"/>
          <w:lang w:eastAsia="en-US"/>
        </w:rPr>
      </w:pPr>
      <w:r w:rsidRPr="008E7137">
        <w:rPr>
          <w:rFonts w:eastAsia="Calibri"/>
          <w:lang w:eastAsia="en-US"/>
        </w:rPr>
        <w:t xml:space="preserve">Omdat het gaat om specifieke emissiefactoren op nationaal niveau, zijn de gehanteerde emissiefactoren zeer geschikt voor het omrekenen van de broeikasgas activiteiten data naar de daarmee gepaard gaande </w:t>
      </w:r>
      <w:r w:rsidR="00261F55">
        <w:rPr>
          <w:rFonts w:eastAsia="Calibri"/>
          <w:lang w:eastAsia="en-US"/>
        </w:rPr>
        <w:t>CO2</w:t>
      </w:r>
      <w:r w:rsidR="00F00F34" w:rsidRPr="008E7137">
        <w:rPr>
          <w:rFonts w:eastAsia="Calibri"/>
          <w:lang w:eastAsia="en-US"/>
        </w:rPr>
        <w:t>-emissie</w:t>
      </w:r>
      <w:r w:rsidRPr="008E7137">
        <w:rPr>
          <w:rFonts w:eastAsia="Calibri"/>
          <w:lang w:eastAsia="en-US"/>
        </w:rPr>
        <w:t xml:space="preserve">. Alle gebruikte emissiefactoren zijn opgenomen in de berekening van de </w:t>
      </w:r>
      <w:r w:rsidR="00261F55">
        <w:rPr>
          <w:rFonts w:eastAsia="Calibri"/>
          <w:lang w:eastAsia="en-US"/>
        </w:rPr>
        <w:t>CO2</w:t>
      </w:r>
      <w:r w:rsidRPr="008E7137">
        <w:rPr>
          <w:rFonts w:eastAsia="Calibri"/>
          <w:lang w:eastAsia="en-US"/>
        </w:rPr>
        <w:t xml:space="preserve"> footprint. De emissiefactoren van de organisaties zullen te allen tijde </w:t>
      </w:r>
      <w:r w:rsidR="00F00F34" w:rsidRPr="008E7137">
        <w:rPr>
          <w:rFonts w:eastAsia="Calibri"/>
          <w:lang w:eastAsia="en-US"/>
        </w:rPr>
        <w:t>meegaan</w:t>
      </w:r>
      <w:r w:rsidRPr="008E7137">
        <w:rPr>
          <w:rFonts w:eastAsia="Calibri"/>
          <w:lang w:eastAsia="en-US"/>
        </w:rPr>
        <w:t xml:space="preserve"> met wijzigingen in de emissiefactoren van de </w:t>
      </w:r>
      <w:r w:rsidR="00261F55">
        <w:rPr>
          <w:rFonts w:eastAsia="Calibri"/>
          <w:lang w:eastAsia="en-US"/>
        </w:rPr>
        <w:t>CO2</w:t>
      </w:r>
      <w:r w:rsidRPr="008E7137">
        <w:rPr>
          <w:rFonts w:eastAsia="Calibri"/>
          <w:lang w:eastAsia="en-US"/>
        </w:rPr>
        <w:t xml:space="preserve"> prestatieladder 3.1.</w:t>
      </w:r>
    </w:p>
    <w:p w14:paraId="3E0EC58D" w14:textId="77777777" w:rsidR="00376230" w:rsidRDefault="00376230" w:rsidP="00376230">
      <w:pPr>
        <w:rPr>
          <w:rFonts w:ascii="Lucida Sans Unicode" w:hAnsi="Lucida Sans Unicode" w:cs="Lucida Sans Unicode"/>
        </w:rPr>
      </w:pPr>
    </w:p>
    <w:p w14:paraId="57BD90EE" w14:textId="77777777" w:rsidR="00376230" w:rsidRPr="00054618" w:rsidRDefault="00376230" w:rsidP="00374B88">
      <w:pPr>
        <w:pStyle w:val="MOBHoofdstuk"/>
      </w:pPr>
      <w:bookmarkStart w:id="42" w:name="_Toc85118628"/>
      <w:r w:rsidRPr="00054618">
        <w:lastRenderedPageBreak/>
        <w:t>Onzekerheden</w:t>
      </w:r>
      <w:bookmarkEnd w:id="42"/>
    </w:p>
    <w:p w14:paraId="1E6DEB15" w14:textId="405C1A28" w:rsidR="00376230" w:rsidRPr="008E7137" w:rsidRDefault="00376230" w:rsidP="00376230">
      <w:pPr>
        <w:rPr>
          <w:rFonts w:eastAsia="Calibri"/>
          <w:lang w:eastAsia="en-US"/>
        </w:rPr>
      </w:pPr>
      <w:r w:rsidRPr="008E7137">
        <w:rPr>
          <w:rFonts w:eastAsia="Calibri"/>
          <w:lang w:eastAsia="en-US"/>
        </w:rPr>
        <w:t xml:space="preserve">De gepresenteerde resultaten moeten worden gezien als de beste inschatting van de werkelijke waardes. Bijna alle gebruikte gegevens voor de berekening van de </w:t>
      </w:r>
      <w:r w:rsidR="00261F55">
        <w:rPr>
          <w:rFonts w:eastAsia="Calibri"/>
          <w:lang w:eastAsia="en-US"/>
        </w:rPr>
        <w:t>CO2</w:t>
      </w:r>
      <w:r w:rsidRPr="008E7137">
        <w:rPr>
          <w:rFonts w:eastAsia="Calibri"/>
          <w:lang w:eastAsia="en-US"/>
        </w:rPr>
        <w:t xml:space="preserve"> footprint zijn gebaseerd op facturen en/of werkelijk gemeten aantallen. Hierbij geldt wel dat met de verhuurders afspraken zijn gemaakt over kosten voor de huur inclusief energie. Exacte cijfers zijn dus niet bekend over verbruik, maar er is een zo goed mogelijke inschatting gemaakt</w:t>
      </w:r>
      <w:r w:rsidR="00553558">
        <w:rPr>
          <w:rFonts w:eastAsia="Calibri"/>
          <w:lang w:eastAsia="en-US"/>
        </w:rPr>
        <w:t xml:space="preserve"> door te kijken naar totaal verbruik en het aantal m2 dat wij huren. </w:t>
      </w:r>
    </w:p>
    <w:p w14:paraId="79E03854" w14:textId="77777777" w:rsidR="00376230" w:rsidRDefault="00376230" w:rsidP="00376230">
      <w:pPr>
        <w:rPr>
          <w:rFonts w:ascii="Lucida Sans Unicode" w:hAnsi="Lucida Sans Unicode" w:cs="Lucida Sans Unicode"/>
        </w:rPr>
      </w:pPr>
    </w:p>
    <w:p w14:paraId="29DDD518" w14:textId="77777777" w:rsidR="00376230" w:rsidRPr="004C5EF0" w:rsidRDefault="00376230" w:rsidP="00374B88">
      <w:pPr>
        <w:pStyle w:val="MOBHoofdstuk"/>
      </w:pPr>
      <w:r w:rsidRPr="00054618">
        <w:lastRenderedPageBreak/>
        <w:t xml:space="preserve"> </w:t>
      </w:r>
      <w:bookmarkStart w:id="43" w:name="_Toc85118629"/>
      <w:r w:rsidRPr="004C5EF0">
        <w:t>Rapportage volgens ISO 14064</w:t>
      </w:r>
      <w:bookmarkEnd w:id="43"/>
    </w:p>
    <w:p w14:paraId="3E44C6D2" w14:textId="67A212C1" w:rsidR="00376230" w:rsidRPr="008E7137" w:rsidRDefault="00376230" w:rsidP="00376230">
      <w:pPr>
        <w:rPr>
          <w:rFonts w:eastAsia="Calibri"/>
          <w:lang w:eastAsia="en-US"/>
        </w:rPr>
      </w:pPr>
      <w:r w:rsidRPr="008E7137">
        <w:rPr>
          <w:rFonts w:eastAsia="Calibri"/>
          <w:lang w:eastAsia="en-US"/>
        </w:rPr>
        <w:t xml:space="preserve">Dit rapport is opgesteld volgens de eisen uit ISO 14064-1 paragraaf 7. In </w:t>
      </w:r>
      <w:r w:rsidR="003F3890">
        <w:rPr>
          <w:rFonts w:eastAsia="Calibri"/>
          <w:lang w:eastAsia="en-US"/>
        </w:rPr>
        <w:t xml:space="preserve">tabel 1 </w:t>
      </w:r>
      <w:r w:rsidRPr="008E7137">
        <w:rPr>
          <w:rFonts w:eastAsia="Calibri"/>
          <w:lang w:eastAsia="en-US"/>
        </w:rPr>
        <w:t>is een cross reference gemaakt van de onderdelen uit ISO 14064 en de hoofdstukken in het rapport.</w:t>
      </w:r>
    </w:p>
    <w:p w14:paraId="6F8C3C9B" w14:textId="77777777" w:rsidR="00376230" w:rsidRPr="00054618" w:rsidRDefault="00376230" w:rsidP="00376230">
      <w:pPr>
        <w:rPr>
          <w:rFonts w:ascii="Lucida Sans Unicode" w:hAnsi="Lucida Sans Unicode" w:cs="Lucida Sans Unicode"/>
        </w:rPr>
      </w:pPr>
    </w:p>
    <w:tbl>
      <w:tblPr>
        <w:tblStyle w:val="Rastertabel1licht-Accent6"/>
        <w:tblW w:w="0" w:type="auto"/>
        <w:jc w:val="center"/>
        <w:tblLook w:val="04A0" w:firstRow="1" w:lastRow="0" w:firstColumn="1" w:lastColumn="0" w:noHBand="0" w:noVBand="1"/>
      </w:tblPr>
      <w:tblGrid>
        <w:gridCol w:w="1271"/>
        <w:gridCol w:w="1276"/>
        <w:gridCol w:w="3402"/>
        <w:gridCol w:w="1276"/>
      </w:tblGrid>
      <w:tr w:rsidR="00376230" w:rsidRPr="00054618" w14:paraId="3F86010C" w14:textId="77777777" w:rsidTr="00FD57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71FDE9BC" w14:textId="77777777" w:rsidR="00376230" w:rsidRPr="00054618" w:rsidRDefault="00376230" w:rsidP="00FD5788">
            <w:pPr>
              <w:rPr>
                <w:rFonts w:ascii="Lucida Sans Unicode" w:hAnsi="Lucida Sans Unicode" w:cs="Lucida Sans Unicode"/>
                <w:sz w:val="16"/>
              </w:rPr>
            </w:pPr>
            <w:r w:rsidRPr="00054618">
              <w:rPr>
                <w:rFonts w:ascii="Lucida Sans Unicode" w:hAnsi="Lucida Sans Unicode" w:cs="Lucida Sans Unicode"/>
                <w:sz w:val="16"/>
              </w:rPr>
              <w:t>ISO 14064-1</w:t>
            </w:r>
          </w:p>
        </w:tc>
        <w:tc>
          <w:tcPr>
            <w:tcW w:w="1276" w:type="dxa"/>
          </w:tcPr>
          <w:p w14:paraId="34FCD300" w14:textId="77777777" w:rsidR="00376230" w:rsidRPr="00054618" w:rsidRDefault="00376230" w:rsidP="00FD5788">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Paragraaf GHG report content</w:t>
            </w:r>
          </w:p>
        </w:tc>
        <w:tc>
          <w:tcPr>
            <w:tcW w:w="3402" w:type="dxa"/>
          </w:tcPr>
          <w:p w14:paraId="62376AA9" w14:textId="77777777" w:rsidR="00376230" w:rsidRPr="00054618" w:rsidRDefault="00376230" w:rsidP="00FD5788">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Beschrijving</w:t>
            </w:r>
          </w:p>
        </w:tc>
        <w:tc>
          <w:tcPr>
            <w:tcW w:w="1276" w:type="dxa"/>
          </w:tcPr>
          <w:p w14:paraId="0303B010" w14:textId="77777777" w:rsidR="00376230" w:rsidRPr="00054618" w:rsidRDefault="00376230" w:rsidP="00FD5788">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Paragraaf rapport</w:t>
            </w:r>
          </w:p>
        </w:tc>
      </w:tr>
      <w:tr w:rsidR="00376230" w:rsidRPr="00054618" w14:paraId="0E24550E"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12E2FBC9" w14:textId="77777777" w:rsidR="00376230" w:rsidRPr="00054618" w:rsidRDefault="00376230" w:rsidP="00FD5788">
            <w:pPr>
              <w:rPr>
                <w:rFonts w:ascii="Lucida Sans Unicode" w:hAnsi="Lucida Sans Unicode" w:cs="Lucida Sans Unicode"/>
                <w:sz w:val="16"/>
              </w:rPr>
            </w:pPr>
          </w:p>
        </w:tc>
        <w:tc>
          <w:tcPr>
            <w:tcW w:w="1276" w:type="dxa"/>
          </w:tcPr>
          <w:p w14:paraId="28E21102"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A</w:t>
            </w:r>
          </w:p>
        </w:tc>
        <w:tc>
          <w:tcPr>
            <w:tcW w:w="3402" w:type="dxa"/>
          </w:tcPr>
          <w:p w14:paraId="03B33C0B"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Reporting organization</w:t>
            </w:r>
          </w:p>
        </w:tc>
        <w:tc>
          <w:tcPr>
            <w:tcW w:w="1276" w:type="dxa"/>
          </w:tcPr>
          <w:p w14:paraId="0E131BF6" w14:textId="77777777" w:rsidR="00376230" w:rsidRPr="008E7137" w:rsidRDefault="00376230"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2</w:t>
            </w:r>
          </w:p>
        </w:tc>
      </w:tr>
      <w:tr w:rsidR="00376230" w:rsidRPr="00054618" w14:paraId="6EB5AD72"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22DFC5C4" w14:textId="77777777" w:rsidR="00376230" w:rsidRPr="00054618" w:rsidRDefault="00376230" w:rsidP="00FD5788">
            <w:pPr>
              <w:rPr>
                <w:rFonts w:ascii="Lucida Sans Unicode" w:hAnsi="Lucida Sans Unicode" w:cs="Lucida Sans Unicode"/>
                <w:sz w:val="16"/>
              </w:rPr>
            </w:pPr>
          </w:p>
        </w:tc>
        <w:tc>
          <w:tcPr>
            <w:tcW w:w="1276" w:type="dxa"/>
          </w:tcPr>
          <w:p w14:paraId="7DB2B535"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B</w:t>
            </w:r>
          </w:p>
        </w:tc>
        <w:tc>
          <w:tcPr>
            <w:tcW w:w="3402" w:type="dxa"/>
          </w:tcPr>
          <w:p w14:paraId="4BDEBD9F"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Person responsible</w:t>
            </w:r>
          </w:p>
        </w:tc>
        <w:tc>
          <w:tcPr>
            <w:tcW w:w="1276" w:type="dxa"/>
          </w:tcPr>
          <w:p w14:paraId="3B1D50E8" w14:textId="7F7B1D39"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4</w:t>
            </w:r>
          </w:p>
        </w:tc>
      </w:tr>
      <w:tr w:rsidR="00376230" w:rsidRPr="00054618" w14:paraId="7732E1BF"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ACBCE19" w14:textId="77777777" w:rsidR="00376230" w:rsidRPr="00054618" w:rsidRDefault="00376230" w:rsidP="00FD5788">
            <w:pPr>
              <w:rPr>
                <w:rFonts w:ascii="Lucida Sans Unicode" w:hAnsi="Lucida Sans Unicode" w:cs="Lucida Sans Unicode"/>
                <w:sz w:val="16"/>
              </w:rPr>
            </w:pPr>
          </w:p>
        </w:tc>
        <w:tc>
          <w:tcPr>
            <w:tcW w:w="1276" w:type="dxa"/>
          </w:tcPr>
          <w:p w14:paraId="07AE6D47"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C</w:t>
            </w:r>
          </w:p>
        </w:tc>
        <w:tc>
          <w:tcPr>
            <w:tcW w:w="3402" w:type="dxa"/>
          </w:tcPr>
          <w:p w14:paraId="49A2E840"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Reporting period</w:t>
            </w:r>
          </w:p>
        </w:tc>
        <w:tc>
          <w:tcPr>
            <w:tcW w:w="1276" w:type="dxa"/>
          </w:tcPr>
          <w:p w14:paraId="09B4C694" w14:textId="6C9F50E1"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4.1</w:t>
            </w:r>
          </w:p>
        </w:tc>
      </w:tr>
      <w:tr w:rsidR="00376230" w:rsidRPr="00054618" w14:paraId="6DF8A163"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760B4F40"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4.1</w:t>
            </w:r>
          </w:p>
        </w:tc>
        <w:tc>
          <w:tcPr>
            <w:tcW w:w="1276" w:type="dxa"/>
          </w:tcPr>
          <w:p w14:paraId="2AEC35A0"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D</w:t>
            </w:r>
          </w:p>
        </w:tc>
        <w:tc>
          <w:tcPr>
            <w:tcW w:w="3402" w:type="dxa"/>
          </w:tcPr>
          <w:p w14:paraId="42D1F9D7"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Organizational boundaries</w:t>
            </w:r>
          </w:p>
        </w:tc>
        <w:tc>
          <w:tcPr>
            <w:tcW w:w="1276" w:type="dxa"/>
          </w:tcPr>
          <w:p w14:paraId="0C6A8839" w14:textId="7A04114C"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4.2</w:t>
            </w:r>
          </w:p>
        </w:tc>
      </w:tr>
      <w:tr w:rsidR="00376230" w:rsidRPr="00054618" w14:paraId="04D8A2CE"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76543305"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4.2.2</w:t>
            </w:r>
          </w:p>
        </w:tc>
        <w:tc>
          <w:tcPr>
            <w:tcW w:w="1276" w:type="dxa"/>
          </w:tcPr>
          <w:p w14:paraId="173641ED"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E</w:t>
            </w:r>
          </w:p>
        </w:tc>
        <w:tc>
          <w:tcPr>
            <w:tcW w:w="3402" w:type="dxa"/>
          </w:tcPr>
          <w:p w14:paraId="178BE55C"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Direct GHG emissions</w:t>
            </w:r>
          </w:p>
        </w:tc>
        <w:tc>
          <w:tcPr>
            <w:tcW w:w="1276" w:type="dxa"/>
          </w:tcPr>
          <w:p w14:paraId="6CEAC01A" w14:textId="34BD7941"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 xml:space="preserve"> 5.1</w:t>
            </w:r>
          </w:p>
        </w:tc>
      </w:tr>
      <w:tr w:rsidR="00376230" w:rsidRPr="00054618" w14:paraId="77DA20C1"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5EA67F8"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4.2.2</w:t>
            </w:r>
          </w:p>
        </w:tc>
        <w:tc>
          <w:tcPr>
            <w:tcW w:w="1276" w:type="dxa"/>
          </w:tcPr>
          <w:p w14:paraId="0CA3523D"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F</w:t>
            </w:r>
          </w:p>
        </w:tc>
        <w:tc>
          <w:tcPr>
            <w:tcW w:w="3402" w:type="dxa"/>
          </w:tcPr>
          <w:p w14:paraId="7096AA06"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Combustion of biomass</w:t>
            </w:r>
          </w:p>
        </w:tc>
        <w:tc>
          <w:tcPr>
            <w:tcW w:w="1276" w:type="dxa"/>
          </w:tcPr>
          <w:p w14:paraId="5F05AD67" w14:textId="7A4A2104"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 xml:space="preserve"> 5.2 </w:t>
            </w:r>
          </w:p>
        </w:tc>
      </w:tr>
      <w:tr w:rsidR="00376230" w:rsidRPr="00054618" w14:paraId="6CED8A61"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627923D"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4.2.2</w:t>
            </w:r>
          </w:p>
        </w:tc>
        <w:tc>
          <w:tcPr>
            <w:tcW w:w="1276" w:type="dxa"/>
          </w:tcPr>
          <w:p w14:paraId="3721E708"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G</w:t>
            </w:r>
          </w:p>
        </w:tc>
        <w:tc>
          <w:tcPr>
            <w:tcW w:w="3402" w:type="dxa"/>
          </w:tcPr>
          <w:p w14:paraId="2AA8F294"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GHG removals</w:t>
            </w:r>
          </w:p>
        </w:tc>
        <w:tc>
          <w:tcPr>
            <w:tcW w:w="1276" w:type="dxa"/>
          </w:tcPr>
          <w:p w14:paraId="2E6ED4FC" w14:textId="20396DDC"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5.3</w:t>
            </w:r>
          </w:p>
        </w:tc>
      </w:tr>
      <w:tr w:rsidR="00376230" w:rsidRPr="00054618" w14:paraId="2B198F7A"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FE2AC56"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4.3.1</w:t>
            </w:r>
          </w:p>
        </w:tc>
        <w:tc>
          <w:tcPr>
            <w:tcW w:w="1276" w:type="dxa"/>
          </w:tcPr>
          <w:p w14:paraId="65FA5E3E"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H</w:t>
            </w:r>
          </w:p>
        </w:tc>
        <w:tc>
          <w:tcPr>
            <w:tcW w:w="3402" w:type="dxa"/>
          </w:tcPr>
          <w:p w14:paraId="50FE6C3B" w14:textId="77777777" w:rsidR="00376230" w:rsidRPr="009A62CE"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lang w:val="en-US"/>
              </w:rPr>
            </w:pPr>
            <w:r w:rsidRPr="009A62CE">
              <w:rPr>
                <w:rFonts w:ascii="Lucida Sans Unicode" w:hAnsi="Lucida Sans Unicode" w:cs="Lucida Sans Unicode"/>
                <w:sz w:val="16"/>
                <w:lang w:val="en-US"/>
              </w:rPr>
              <w:t>Exclusion of sources or sinks</w:t>
            </w:r>
          </w:p>
        </w:tc>
        <w:tc>
          <w:tcPr>
            <w:tcW w:w="1276" w:type="dxa"/>
          </w:tcPr>
          <w:p w14:paraId="4B8AE900" w14:textId="684283CA"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5.4</w:t>
            </w:r>
          </w:p>
        </w:tc>
      </w:tr>
      <w:tr w:rsidR="00376230" w:rsidRPr="00054618" w14:paraId="12F20B06"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EA1F312"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4.2.3</w:t>
            </w:r>
          </w:p>
        </w:tc>
        <w:tc>
          <w:tcPr>
            <w:tcW w:w="1276" w:type="dxa"/>
          </w:tcPr>
          <w:p w14:paraId="75F6B268"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I</w:t>
            </w:r>
          </w:p>
        </w:tc>
        <w:tc>
          <w:tcPr>
            <w:tcW w:w="3402" w:type="dxa"/>
          </w:tcPr>
          <w:p w14:paraId="14273AD1"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Indirect GHG emissions</w:t>
            </w:r>
          </w:p>
        </w:tc>
        <w:tc>
          <w:tcPr>
            <w:tcW w:w="1276" w:type="dxa"/>
          </w:tcPr>
          <w:p w14:paraId="4008214B" w14:textId="1E1E5EB2"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5.1</w:t>
            </w:r>
          </w:p>
        </w:tc>
      </w:tr>
      <w:tr w:rsidR="00376230" w:rsidRPr="00054618" w14:paraId="32D715B2"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A9D914F"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5.3.1</w:t>
            </w:r>
          </w:p>
        </w:tc>
        <w:tc>
          <w:tcPr>
            <w:tcW w:w="1276" w:type="dxa"/>
          </w:tcPr>
          <w:p w14:paraId="39DC8361"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J</w:t>
            </w:r>
          </w:p>
        </w:tc>
        <w:tc>
          <w:tcPr>
            <w:tcW w:w="3402" w:type="dxa"/>
          </w:tcPr>
          <w:p w14:paraId="5BA8E77E"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Base year</w:t>
            </w:r>
          </w:p>
        </w:tc>
        <w:tc>
          <w:tcPr>
            <w:tcW w:w="1276" w:type="dxa"/>
          </w:tcPr>
          <w:p w14:paraId="79C5C302" w14:textId="18582A84"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4.1</w:t>
            </w:r>
          </w:p>
        </w:tc>
      </w:tr>
      <w:tr w:rsidR="00376230" w:rsidRPr="00054618" w14:paraId="139216A9"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0680BC9"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5.3.2</w:t>
            </w:r>
          </w:p>
        </w:tc>
        <w:tc>
          <w:tcPr>
            <w:tcW w:w="1276" w:type="dxa"/>
          </w:tcPr>
          <w:p w14:paraId="3298C163"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K</w:t>
            </w:r>
          </w:p>
        </w:tc>
        <w:tc>
          <w:tcPr>
            <w:tcW w:w="3402" w:type="dxa"/>
          </w:tcPr>
          <w:p w14:paraId="293FC29E"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 xml:space="preserve">Changes or recalculatons </w:t>
            </w:r>
          </w:p>
        </w:tc>
        <w:tc>
          <w:tcPr>
            <w:tcW w:w="1276" w:type="dxa"/>
          </w:tcPr>
          <w:p w14:paraId="0E19EC7C" w14:textId="2EC0D828"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5.7</w:t>
            </w:r>
          </w:p>
        </w:tc>
      </w:tr>
      <w:tr w:rsidR="00376230" w:rsidRPr="00054618" w14:paraId="409BCC7E"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67BFB0D"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4.3.3</w:t>
            </w:r>
          </w:p>
        </w:tc>
        <w:tc>
          <w:tcPr>
            <w:tcW w:w="1276" w:type="dxa"/>
          </w:tcPr>
          <w:p w14:paraId="3D5B21A0"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L</w:t>
            </w:r>
          </w:p>
        </w:tc>
        <w:tc>
          <w:tcPr>
            <w:tcW w:w="3402" w:type="dxa"/>
          </w:tcPr>
          <w:p w14:paraId="6C25D349"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Methodologies</w:t>
            </w:r>
          </w:p>
        </w:tc>
        <w:tc>
          <w:tcPr>
            <w:tcW w:w="1276" w:type="dxa"/>
          </w:tcPr>
          <w:p w14:paraId="02278166" w14:textId="02664C8A"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6</w:t>
            </w:r>
          </w:p>
        </w:tc>
      </w:tr>
      <w:tr w:rsidR="00376230" w:rsidRPr="00054618" w14:paraId="42D6EC71"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3400DE96"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4.3.3</w:t>
            </w:r>
          </w:p>
        </w:tc>
        <w:tc>
          <w:tcPr>
            <w:tcW w:w="1276" w:type="dxa"/>
          </w:tcPr>
          <w:p w14:paraId="2067DEAF"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M</w:t>
            </w:r>
          </w:p>
        </w:tc>
        <w:tc>
          <w:tcPr>
            <w:tcW w:w="3402" w:type="dxa"/>
          </w:tcPr>
          <w:p w14:paraId="4BD6B046"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Changes to methodologies</w:t>
            </w:r>
          </w:p>
        </w:tc>
        <w:tc>
          <w:tcPr>
            <w:tcW w:w="1276" w:type="dxa"/>
          </w:tcPr>
          <w:p w14:paraId="063538F6" w14:textId="017FF2BB"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6</w:t>
            </w:r>
          </w:p>
        </w:tc>
      </w:tr>
      <w:tr w:rsidR="00376230" w:rsidRPr="00054618" w14:paraId="3F4CB07C"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A3971EF"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4.3.5</w:t>
            </w:r>
          </w:p>
        </w:tc>
        <w:tc>
          <w:tcPr>
            <w:tcW w:w="1276" w:type="dxa"/>
          </w:tcPr>
          <w:p w14:paraId="18D4B139"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N</w:t>
            </w:r>
          </w:p>
        </w:tc>
        <w:tc>
          <w:tcPr>
            <w:tcW w:w="3402" w:type="dxa"/>
          </w:tcPr>
          <w:p w14:paraId="329F918E" w14:textId="77777777" w:rsidR="00376230" w:rsidRPr="009A62CE"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lang w:val="en-US"/>
              </w:rPr>
            </w:pPr>
            <w:r w:rsidRPr="009A62CE">
              <w:rPr>
                <w:rFonts w:ascii="Lucida Sans Unicode" w:hAnsi="Lucida Sans Unicode" w:cs="Lucida Sans Unicode"/>
                <w:sz w:val="16"/>
                <w:lang w:val="en-US"/>
              </w:rPr>
              <w:t>Emission or removal factors used</w:t>
            </w:r>
          </w:p>
        </w:tc>
        <w:tc>
          <w:tcPr>
            <w:tcW w:w="1276" w:type="dxa"/>
          </w:tcPr>
          <w:p w14:paraId="2E9FB0C1" w14:textId="306A9EE4"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7</w:t>
            </w:r>
          </w:p>
        </w:tc>
      </w:tr>
      <w:tr w:rsidR="00376230" w:rsidRPr="00054618" w14:paraId="47AE83E0"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7C1B4CC0" w14:textId="77777777" w:rsidR="00376230" w:rsidRPr="00054618" w:rsidRDefault="00376230" w:rsidP="00FD5788">
            <w:pPr>
              <w:rPr>
                <w:rFonts w:ascii="Lucida Sans Unicode" w:hAnsi="Lucida Sans Unicode" w:cs="Lucida Sans Unicode"/>
                <w:b w:val="0"/>
                <w:bCs w:val="0"/>
                <w:sz w:val="16"/>
              </w:rPr>
            </w:pPr>
            <w:r w:rsidRPr="00054618">
              <w:rPr>
                <w:rFonts w:ascii="Lucida Sans Unicode" w:hAnsi="Lucida Sans Unicode" w:cs="Lucida Sans Unicode"/>
                <w:b w:val="0"/>
                <w:bCs w:val="0"/>
                <w:sz w:val="16"/>
              </w:rPr>
              <w:t>5.4</w:t>
            </w:r>
          </w:p>
        </w:tc>
        <w:tc>
          <w:tcPr>
            <w:tcW w:w="1276" w:type="dxa"/>
          </w:tcPr>
          <w:p w14:paraId="3E5C5B6F"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O</w:t>
            </w:r>
          </w:p>
        </w:tc>
        <w:tc>
          <w:tcPr>
            <w:tcW w:w="3402" w:type="dxa"/>
          </w:tcPr>
          <w:p w14:paraId="782C8A90"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Uncertainties</w:t>
            </w:r>
          </w:p>
        </w:tc>
        <w:tc>
          <w:tcPr>
            <w:tcW w:w="1276" w:type="dxa"/>
          </w:tcPr>
          <w:p w14:paraId="5FCC9CF6" w14:textId="3F1F089E"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8</w:t>
            </w:r>
          </w:p>
        </w:tc>
      </w:tr>
      <w:tr w:rsidR="00376230" w:rsidRPr="00054618" w14:paraId="7BD8AC47"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D06018B" w14:textId="77777777" w:rsidR="00376230" w:rsidRPr="00054618" w:rsidRDefault="00376230" w:rsidP="00FD5788">
            <w:pPr>
              <w:rPr>
                <w:rFonts w:ascii="Lucida Sans Unicode" w:hAnsi="Lucida Sans Unicode" w:cs="Lucida Sans Unicode"/>
                <w:b w:val="0"/>
                <w:bCs w:val="0"/>
                <w:sz w:val="16"/>
              </w:rPr>
            </w:pPr>
          </w:p>
        </w:tc>
        <w:tc>
          <w:tcPr>
            <w:tcW w:w="1276" w:type="dxa"/>
          </w:tcPr>
          <w:p w14:paraId="3A75EAD1"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P</w:t>
            </w:r>
          </w:p>
        </w:tc>
        <w:tc>
          <w:tcPr>
            <w:tcW w:w="3402" w:type="dxa"/>
          </w:tcPr>
          <w:p w14:paraId="58BE2C0A" w14:textId="77777777" w:rsidR="00376230" w:rsidRPr="009A62CE"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lang w:val="en-US"/>
              </w:rPr>
            </w:pPr>
            <w:r w:rsidRPr="009A62CE">
              <w:rPr>
                <w:rFonts w:ascii="Lucida Sans Unicode" w:hAnsi="Lucida Sans Unicode" w:cs="Lucida Sans Unicode"/>
                <w:sz w:val="16"/>
                <w:lang w:val="en-US"/>
              </w:rPr>
              <w:t>Statement in accordance with ISO 14064</w:t>
            </w:r>
          </w:p>
        </w:tc>
        <w:tc>
          <w:tcPr>
            <w:tcW w:w="1276" w:type="dxa"/>
          </w:tcPr>
          <w:p w14:paraId="12AC6CDA" w14:textId="0C286012"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9</w:t>
            </w:r>
          </w:p>
        </w:tc>
      </w:tr>
      <w:tr w:rsidR="00376230" w:rsidRPr="00054618" w14:paraId="5C8D3174"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2560BC4" w14:textId="77777777" w:rsidR="00376230" w:rsidRPr="00054618" w:rsidRDefault="00376230" w:rsidP="00FD5788">
            <w:pPr>
              <w:rPr>
                <w:rFonts w:ascii="Lucida Sans Unicode" w:hAnsi="Lucida Sans Unicode" w:cs="Lucida Sans Unicode"/>
                <w:sz w:val="16"/>
              </w:rPr>
            </w:pPr>
          </w:p>
        </w:tc>
        <w:tc>
          <w:tcPr>
            <w:tcW w:w="1276" w:type="dxa"/>
          </w:tcPr>
          <w:p w14:paraId="7A0E2E4C"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Q</w:t>
            </w:r>
          </w:p>
        </w:tc>
        <w:tc>
          <w:tcPr>
            <w:tcW w:w="3402" w:type="dxa"/>
          </w:tcPr>
          <w:p w14:paraId="0D13207C"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054618">
              <w:rPr>
                <w:rFonts w:ascii="Lucida Sans Unicode" w:hAnsi="Lucida Sans Unicode" w:cs="Lucida Sans Unicode"/>
                <w:sz w:val="16"/>
              </w:rPr>
              <w:t>External verification</w:t>
            </w:r>
          </w:p>
        </w:tc>
        <w:tc>
          <w:tcPr>
            <w:tcW w:w="1276" w:type="dxa"/>
          </w:tcPr>
          <w:p w14:paraId="31D1E6BA" w14:textId="60D42694"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5.1</w:t>
            </w:r>
          </w:p>
        </w:tc>
      </w:tr>
      <w:tr w:rsidR="00376230" w:rsidRPr="00054618" w14:paraId="21EE797F"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2FAF1EB6" w14:textId="77777777" w:rsidR="00376230" w:rsidRPr="00054618" w:rsidRDefault="00376230" w:rsidP="00FD5788">
            <w:pPr>
              <w:rPr>
                <w:rFonts w:ascii="Lucida Sans Unicode" w:hAnsi="Lucida Sans Unicode" w:cs="Lucida Sans Unicode"/>
                <w:sz w:val="16"/>
              </w:rPr>
            </w:pPr>
          </w:p>
        </w:tc>
        <w:tc>
          <w:tcPr>
            <w:tcW w:w="1276" w:type="dxa"/>
          </w:tcPr>
          <w:p w14:paraId="6C39F159"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Pr>
                <w:rFonts w:ascii="Lucida Sans Unicode" w:hAnsi="Lucida Sans Unicode" w:cs="Lucida Sans Unicode"/>
                <w:sz w:val="16"/>
              </w:rPr>
              <w:t>R</w:t>
            </w:r>
          </w:p>
        </w:tc>
        <w:tc>
          <w:tcPr>
            <w:tcW w:w="3402" w:type="dxa"/>
          </w:tcPr>
          <w:p w14:paraId="05ECDD3F" w14:textId="77777777" w:rsidR="00376230" w:rsidRPr="009A62CE"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lang w:val="en-US"/>
              </w:rPr>
            </w:pPr>
            <w:r w:rsidRPr="009A62CE">
              <w:rPr>
                <w:rFonts w:ascii="Lucida Sans Unicode" w:hAnsi="Lucida Sans Unicode" w:cs="Lucida Sans Unicode"/>
                <w:sz w:val="16"/>
                <w:lang w:val="en-US"/>
              </w:rPr>
              <w:t>Statement in accordance with ISO 14064</w:t>
            </w:r>
          </w:p>
        </w:tc>
        <w:tc>
          <w:tcPr>
            <w:tcW w:w="1276" w:type="dxa"/>
          </w:tcPr>
          <w:p w14:paraId="6AF05B61" w14:textId="46E51460" w:rsidR="00376230" w:rsidRPr="008E7137" w:rsidRDefault="00D16ADE"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8E7137">
              <w:rPr>
                <w:rFonts w:ascii="Lucida Sans Unicode" w:hAnsi="Lucida Sans Unicode" w:cs="Lucida Sans Unicode"/>
                <w:sz w:val="16"/>
              </w:rPr>
              <w:t>9</w:t>
            </w:r>
          </w:p>
        </w:tc>
      </w:tr>
      <w:tr w:rsidR="00376230" w:rsidRPr="00054618" w14:paraId="0D47D000"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54B7CE48" w14:textId="77777777" w:rsidR="00376230" w:rsidRPr="00054618" w:rsidRDefault="00376230" w:rsidP="00FD5788">
            <w:pPr>
              <w:rPr>
                <w:rFonts w:ascii="Lucida Sans Unicode" w:hAnsi="Lucida Sans Unicode" w:cs="Lucida Sans Unicode"/>
                <w:sz w:val="16"/>
              </w:rPr>
            </w:pPr>
          </w:p>
        </w:tc>
        <w:tc>
          <w:tcPr>
            <w:tcW w:w="1276" w:type="dxa"/>
          </w:tcPr>
          <w:p w14:paraId="2A71957F"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Pr>
                <w:rFonts w:ascii="Lucida Sans Unicode" w:hAnsi="Lucida Sans Unicode" w:cs="Lucida Sans Unicode"/>
                <w:sz w:val="16"/>
              </w:rPr>
              <w:t>S</w:t>
            </w:r>
          </w:p>
        </w:tc>
        <w:tc>
          <w:tcPr>
            <w:tcW w:w="3402" w:type="dxa"/>
          </w:tcPr>
          <w:p w14:paraId="6280EDD8"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Pr>
                <w:rFonts w:ascii="Lucida Sans Unicode" w:hAnsi="Lucida Sans Unicode" w:cs="Lucida Sans Unicode"/>
                <w:sz w:val="16"/>
              </w:rPr>
              <w:t>Statement on the verification</w:t>
            </w:r>
          </w:p>
        </w:tc>
        <w:tc>
          <w:tcPr>
            <w:tcW w:w="1276" w:type="dxa"/>
          </w:tcPr>
          <w:p w14:paraId="073166F7" w14:textId="77777777" w:rsidR="00376230" w:rsidRDefault="00376230"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Pr>
                <w:rFonts w:ascii="Lucida Sans Unicode" w:hAnsi="Lucida Sans Unicode" w:cs="Lucida Sans Unicode"/>
                <w:sz w:val="16"/>
              </w:rPr>
              <w:t>1</w:t>
            </w:r>
          </w:p>
        </w:tc>
      </w:tr>
      <w:tr w:rsidR="00376230" w:rsidRPr="00054618" w14:paraId="162C159A"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1703414E" w14:textId="77777777" w:rsidR="00376230" w:rsidRPr="00054618" w:rsidRDefault="00376230" w:rsidP="00FD5788">
            <w:pPr>
              <w:rPr>
                <w:rFonts w:ascii="Lucida Sans Unicode" w:hAnsi="Lucida Sans Unicode" w:cs="Lucida Sans Unicode"/>
                <w:sz w:val="16"/>
              </w:rPr>
            </w:pPr>
          </w:p>
        </w:tc>
        <w:tc>
          <w:tcPr>
            <w:tcW w:w="1276" w:type="dxa"/>
          </w:tcPr>
          <w:p w14:paraId="72ED14BD" w14:textId="77777777" w:rsidR="00376230" w:rsidRPr="00054618"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Pr>
                <w:rFonts w:ascii="Lucida Sans Unicode" w:hAnsi="Lucida Sans Unicode" w:cs="Lucida Sans Unicode"/>
                <w:sz w:val="16"/>
              </w:rPr>
              <w:t>T</w:t>
            </w:r>
          </w:p>
        </w:tc>
        <w:tc>
          <w:tcPr>
            <w:tcW w:w="3402" w:type="dxa"/>
          </w:tcPr>
          <w:p w14:paraId="0C419AD6" w14:textId="77777777" w:rsidR="00376230" w:rsidRPr="009A62CE"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lang w:val="en-US"/>
              </w:rPr>
            </w:pPr>
            <w:r w:rsidRPr="009A62CE">
              <w:rPr>
                <w:rFonts w:ascii="Lucida Sans Unicode" w:hAnsi="Lucida Sans Unicode" w:cs="Lucida Sans Unicode"/>
                <w:sz w:val="16"/>
                <w:lang w:val="en-US"/>
              </w:rPr>
              <w:t>GWP Values used including their source</w:t>
            </w:r>
          </w:p>
        </w:tc>
        <w:tc>
          <w:tcPr>
            <w:tcW w:w="1276" w:type="dxa"/>
          </w:tcPr>
          <w:p w14:paraId="4BDDC71A" w14:textId="77777777" w:rsidR="00376230" w:rsidRDefault="00376230" w:rsidP="00FD5788">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Pr>
                <w:rFonts w:ascii="Lucida Sans Unicode" w:hAnsi="Lucida Sans Unicode" w:cs="Lucida Sans Unicode"/>
                <w:sz w:val="16"/>
              </w:rPr>
              <w:t>1</w:t>
            </w:r>
          </w:p>
        </w:tc>
      </w:tr>
    </w:tbl>
    <w:p w14:paraId="344570AA" w14:textId="41ED8103" w:rsidR="00376230" w:rsidRPr="00054618" w:rsidRDefault="003059E0" w:rsidP="00376230">
      <w:pPr>
        <w:rPr>
          <w:rFonts w:ascii="Lucida Sans Unicode" w:hAnsi="Lucida Sans Unicode" w:cs="Lucida Sans Unicode"/>
        </w:rPr>
      </w:pPr>
      <w:r>
        <w:rPr>
          <w:rFonts w:ascii="Lucida Sans Unicode" w:hAnsi="Lucida Sans Unicode" w:cs="Lucida Sans Unicode"/>
        </w:rPr>
        <w:tab/>
      </w:r>
    </w:p>
    <w:p w14:paraId="66FFFAAE" w14:textId="77777777" w:rsidR="00376230" w:rsidRPr="00054618" w:rsidRDefault="00376230" w:rsidP="00374B88">
      <w:pPr>
        <w:pStyle w:val="MOBHoofdstuk"/>
      </w:pPr>
      <w:bookmarkStart w:id="44" w:name="_Toc85118630"/>
      <w:r w:rsidRPr="00054618">
        <w:lastRenderedPageBreak/>
        <w:t>Energieaudit verslag</w:t>
      </w:r>
      <w:bookmarkEnd w:id="44"/>
    </w:p>
    <w:p w14:paraId="0540C5A6" w14:textId="4FB65725" w:rsidR="00376230" w:rsidRPr="008E7137" w:rsidRDefault="00376230" w:rsidP="00376230">
      <w:pPr>
        <w:rPr>
          <w:rFonts w:eastAsia="Calibri"/>
          <w:lang w:eastAsia="en-US"/>
        </w:rPr>
      </w:pPr>
      <w:r w:rsidRPr="008E7137">
        <w:rPr>
          <w:rFonts w:eastAsia="Calibri"/>
          <w:lang w:eastAsia="en-US"/>
        </w:rPr>
        <w:t>Het energieaudit verslag geeft een analyse van de meest significante energieaspecten. Een energie audit geeft meer zekerheid dat alle relevante energiestromen en reductie potentieel in beeld zijn. Het verslag omvat de volgende onderdelen.</w:t>
      </w:r>
    </w:p>
    <w:p w14:paraId="20EB1C04" w14:textId="1F437275" w:rsidR="00376230" w:rsidRPr="002E5180" w:rsidRDefault="00376230" w:rsidP="006C0E57">
      <w:pPr>
        <w:pStyle w:val="Lijstalinea"/>
        <w:numPr>
          <w:ilvl w:val="0"/>
          <w:numId w:val="7"/>
        </w:numPr>
        <w:spacing w:line="240" w:lineRule="auto"/>
        <w:rPr>
          <w:rFonts w:asciiTheme="minorHAnsi" w:hAnsiTheme="minorHAnsi" w:cstheme="minorHAnsi"/>
        </w:rPr>
      </w:pPr>
      <w:r w:rsidRPr="002E5180">
        <w:rPr>
          <w:rFonts w:asciiTheme="minorHAnsi" w:hAnsiTheme="minorHAnsi" w:cstheme="minorHAnsi"/>
        </w:rPr>
        <w:t>Analyse van het huidige en historisch energieverbruik</w:t>
      </w:r>
      <w:r w:rsidR="007D348D" w:rsidRPr="002E5180">
        <w:rPr>
          <w:rFonts w:asciiTheme="minorHAnsi" w:hAnsiTheme="minorHAnsi" w:cstheme="minorHAnsi"/>
        </w:rPr>
        <w:t>;</w:t>
      </w:r>
    </w:p>
    <w:p w14:paraId="769E8D75" w14:textId="046B4207" w:rsidR="00376230" w:rsidRPr="002E5180" w:rsidRDefault="00376230" w:rsidP="006C0E57">
      <w:pPr>
        <w:pStyle w:val="Lijstalinea"/>
        <w:numPr>
          <w:ilvl w:val="0"/>
          <w:numId w:val="7"/>
        </w:numPr>
        <w:spacing w:line="240" w:lineRule="auto"/>
        <w:rPr>
          <w:rFonts w:asciiTheme="minorHAnsi" w:hAnsiTheme="minorHAnsi" w:cstheme="minorHAnsi"/>
        </w:rPr>
      </w:pPr>
      <w:r w:rsidRPr="002E5180">
        <w:rPr>
          <w:rFonts w:asciiTheme="minorHAnsi" w:hAnsiTheme="minorHAnsi" w:cstheme="minorHAnsi"/>
        </w:rPr>
        <w:t>Identificatie van gebieden waar sprake is van significant energieverbruik</w:t>
      </w:r>
      <w:r w:rsidR="007D348D" w:rsidRPr="002E5180">
        <w:rPr>
          <w:rFonts w:asciiTheme="minorHAnsi" w:hAnsiTheme="minorHAnsi" w:cstheme="minorHAnsi"/>
        </w:rPr>
        <w:t>;</w:t>
      </w:r>
    </w:p>
    <w:p w14:paraId="3BA5B0B3" w14:textId="76BCBDC4" w:rsidR="00376230" w:rsidRPr="002E5180" w:rsidRDefault="00376230" w:rsidP="006C0E57">
      <w:pPr>
        <w:pStyle w:val="Lijstalinea"/>
        <w:numPr>
          <w:ilvl w:val="0"/>
          <w:numId w:val="7"/>
        </w:numPr>
        <w:spacing w:line="240" w:lineRule="auto"/>
        <w:rPr>
          <w:rFonts w:asciiTheme="minorHAnsi" w:hAnsiTheme="minorHAnsi" w:cstheme="minorHAnsi"/>
        </w:rPr>
      </w:pPr>
      <w:r w:rsidRPr="002E5180">
        <w:rPr>
          <w:rFonts w:asciiTheme="minorHAnsi" w:hAnsiTheme="minorHAnsi" w:cstheme="minorHAnsi"/>
        </w:rPr>
        <w:t>Identificeren, vastleggen van prioriteiten en documenteren van opportuniteiten</w:t>
      </w:r>
      <w:r w:rsidR="007D348D" w:rsidRPr="002E5180">
        <w:rPr>
          <w:rFonts w:asciiTheme="minorHAnsi" w:hAnsiTheme="minorHAnsi" w:cstheme="minorHAnsi"/>
        </w:rPr>
        <w:t>.</w:t>
      </w:r>
    </w:p>
    <w:p w14:paraId="41C91059" w14:textId="77777777" w:rsidR="007D348D" w:rsidRDefault="007D348D" w:rsidP="007D348D">
      <w:pPr>
        <w:pStyle w:val="Lijstalinea"/>
        <w:spacing w:line="240" w:lineRule="auto"/>
        <w:ind w:left="1065"/>
        <w:rPr>
          <w:rFonts w:ascii="Lucida Sans Unicode" w:hAnsi="Lucida Sans Unicode" w:cs="Lucida Sans Unicode"/>
        </w:rPr>
      </w:pPr>
    </w:p>
    <w:p w14:paraId="5E788BC8" w14:textId="4E041581" w:rsidR="00376230" w:rsidRPr="008E7137" w:rsidRDefault="00376230" w:rsidP="00376230">
      <w:pPr>
        <w:rPr>
          <w:rFonts w:eastAsia="Calibri"/>
          <w:lang w:eastAsia="en-US"/>
        </w:rPr>
      </w:pPr>
      <w:r w:rsidRPr="008E7137">
        <w:rPr>
          <w:rFonts w:eastAsia="Calibri"/>
          <w:lang w:eastAsia="en-US"/>
        </w:rPr>
        <w:t xml:space="preserve">De analyse vormt steeds een onderdeel van de managementreview, alwaar conclusies worden getrokken en besluiten worden genomen. </w:t>
      </w:r>
    </w:p>
    <w:p w14:paraId="51975FCE" w14:textId="77777777" w:rsidR="00376230" w:rsidRDefault="00376230" w:rsidP="00376230">
      <w:pPr>
        <w:rPr>
          <w:rFonts w:ascii="Lucida Sans Unicode" w:hAnsi="Lucida Sans Unicode" w:cs="Lucida Sans Unicode"/>
        </w:rPr>
      </w:pPr>
    </w:p>
    <w:p w14:paraId="37434E1C" w14:textId="77777777" w:rsidR="00376230" w:rsidRPr="00B27DD9" w:rsidRDefault="00376230" w:rsidP="00374B88">
      <w:pPr>
        <w:pStyle w:val="MOBParagraaf"/>
      </w:pPr>
      <w:bookmarkStart w:id="45" w:name="_Toc85118631"/>
      <w:r w:rsidRPr="00B27DD9">
        <w:t>Analyse van het huidige en historisch energieverbruik</w:t>
      </w:r>
      <w:bookmarkEnd w:id="45"/>
    </w:p>
    <w:p w14:paraId="2C184DB5" w14:textId="77777777" w:rsidR="00376230" w:rsidRPr="008E7137" w:rsidRDefault="00376230" w:rsidP="00376230">
      <w:pPr>
        <w:rPr>
          <w:rFonts w:eastAsia="Calibri"/>
          <w:lang w:eastAsia="en-US"/>
        </w:rPr>
      </w:pPr>
      <w:r w:rsidRPr="008E7137">
        <w:rPr>
          <w:rFonts w:eastAsia="Calibri"/>
          <w:lang w:eastAsia="en-US"/>
        </w:rPr>
        <w:t>De organizational boundary is het afgelopen jaar niet gewijzigd.</w:t>
      </w:r>
    </w:p>
    <w:p w14:paraId="3B69E1CF" w14:textId="0FFF8182" w:rsidR="00376230" w:rsidRPr="008E7137" w:rsidRDefault="00376230" w:rsidP="00376230">
      <w:pPr>
        <w:rPr>
          <w:rFonts w:eastAsia="Calibri"/>
          <w:lang w:eastAsia="en-US"/>
        </w:rPr>
      </w:pPr>
      <w:r w:rsidRPr="008E7137">
        <w:rPr>
          <w:rFonts w:eastAsia="Calibri"/>
          <w:lang w:eastAsia="en-US"/>
        </w:rPr>
        <w:t xml:space="preserve">Een project met gunningsvoordeel heeft zich nog niet voorgedaan in </w:t>
      </w:r>
      <w:r w:rsidR="006D74AB">
        <w:rPr>
          <w:rFonts w:eastAsia="Calibri"/>
          <w:lang w:eastAsia="en-US"/>
        </w:rPr>
        <w:t xml:space="preserve">de jaren </w:t>
      </w:r>
      <w:r w:rsidRPr="008E7137">
        <w:rPr>
          <w:rFonts w:eastAsia="Calibri"/>
          <w:lang w:eastAsia="en-US"/>
        </w:rPr>
        <w:t xml:space="preserve">2019 </w:t>
      </w:r>
      <w:r w:rsidR="006D74AB">
        <w:rPr>
          <w:rFonts w:eastAsia="Calibri"/>
          <w:lang w:eastAsia="en-US"/>
        </w:rPr>
        <w:t xml:space="preserve">tot en met </w:t>
      </w:r>
      <w:r w:rsidRPr="008E7137">
        <w:rPr>
          <w:rFonts w:eastAsia="Calibri"/>
          <w:lang w:eastAsia="en-US"/>
        </w:rPr>
        <w:t>202</w:t>
      </w:r>
      <w:r w:rsidR="0075137A">
        <w:rPr>
          <w:rFonts w:eastAsia="Calibri"/>
          <w:lang w:eastAsia="en-US"/>
        </w:rPr>
        <w:t>4</w:t>
      </w:r>
      <w:r w:rsidRPr="008E7137">
        <w:rPr>
          <w:rFonts w:eastAsia="Calibri"/>
          <w:lang w:eastAsia="en-US"/>
        </w:rPr>
        <w:t>.</w:t>
      </w:r>
    </w:p>
    <w:p w14:paraId="68089FDC" w14:textId="77777777" w:rsidR="00376230" w:rsidRPr="008E7137" w:rsidRDefault="00376230" w:rsidP="00376230">
      <w:pPr>
        <w:rPr>
          <w:rFonts w:eastAsia="Calibri"/>
          <w:lang w:eastAsia="en-US"/>
        </w:rPr>
      </w:pPr>
    </w:p>
    <w:p w14:paraId="2DE996B6" w14:textId="77777777" w:rsidR="00376230" w:rsidRDefault="00376230" w:rsidP="00376230">
      <w:pPr>
        <w:rPr>
          <w:rFonts w:eastAsia="Calibri"/>
          <w:lang w:eastAsia="en-US"/>
        </w:rPr>
      </w:pPr>
      <w:r w:rsidRPr="008E7137">
        <w:rPr>
          <w:rFonts w:eastAsia="Calibri"/>
          <w:lang w:eastAsia="en-US"/>
        </w:rPr>
        <w:t>Het jaarlijkse energieverbruik over het laatste volledige kalenderjaar is vastgesteld op basis van de eindafrekeningen van de elektriciteits- en gasmaatschappij en opgave brandstofleveranciers.</w:t>
      </w:r>
    </w:p>
    <w:p w14:paraId="061BB035" w14:textId="77777777" w:rsidR="00B51D66" w:rsidRDefault="00B51D66" w:rsidP="00376230">
      <w:pPr>
        <w:rPr>
          <w:rFonts w:eastAsia="Calibri"/>
          <w:lang w:eastAsia="en-US"/>
        </w:rPr>
      </w:pPr>
    </w:p>
    <w:p w14:paraId="6226DE62" w14:textId="42BB09EF" w:rsidR="00B51D66" w:rsidRPr="008E7137" w:rsidRDefault="00B51D66" w:rsidP="00376230">
      <w:pPr>
        <w:rPr>
          <w:rFonts w:eastAsia="Calibri"/>
          <w:lang w:eastAsia="en-US"/>
        </w:rPr>
      </w:pPr>
      <w:r>
        <w:rPr>
          <w:rFonts w:eastAsia="Calibri"/>
          <w:lang w:eastAsia="en-US"/>
        </w:rPr>
        <w:t xml:space="preserve">In 2024 was </w:t>
      </w:r>
      <w:r w:rsidR="00397472">
        <w:rPr>
          <w:rFonts w:eastAsia="Calibri"/>
          <w:lang w:eastAsia="en-US"/>
        </w:rPr>
        <w:t xml:space="preserve">elektraverbruik goed voor 82% van </w:t>
      </w:r>
      <w:r w:rsidR="000A7EAB">
        <w:rPr>
          <w:rFonts w:eastAsia="Calibri"/>
          <w:lang w:eastAsia="en-US"/>
        </w:rPr>
        <w:t xml:space="preserve">de footprint. </w:t>
      </w:r>
      <w:r w:rsidR="00044480">
        <w:rPr>
          <w:rFonts w:eastAsia="Calibri"/>
          <w:lang w:eastAsia="en-US"/>
        </w:rPr>
        <w:t>Het aandeel van elektraverbruik op de footprint is de laatste jaren alleen maar gegroeid door afname van diesel en benzinewagens in onze wagenpark.</w:t>
      </w:r>
      <w:r w:rsidR="00AA7DB4">
        <w:rPr>
          <w:rFonts w:eastAsia="Calibri"/>
          <w:lang w:eastAsia="en-US"/>
        </w:rPr>
        <w:t xml:space="preserve"> Daarnaast is elektraverbruik ook in absolute zin flink gestegen met 177</w:t>
      </w:r>
      <w:r w:rsidR="00D62417">
        <w:rPr>
          <w:rFonts w:eastAsia="Calibri"/>
          <w:lang w:eastAsia="en-US"/>
        </w:rPr>
        <w:t>%. We zijn</w:t>
      </w:r>
      <w:r w:rsidR="007C1968">
        <w:rPr>
          <w:rFonts w:eastAsia="Calibri"/>
          <w:lang w:eastAsia="en-US"/>
        </w:rPr>
        <w:t xml:space="preserve"> steeds meer elektrisch gaan rijden waardoor elektraverbruik toenam</w:t>
      </w:r>
      <w:r w:rsidR="00F60F8D">
        <w:rPr>
          <w:rFonts w:eastAsia="Calibri"/>
          <w:lang w:eastAsia="en-US"/>
        </w:rPr>
        <w:t>. Ook zijn we in 2024 verhuisd van onze pand Europa</w:t>
      </w:r>
      <w:r w:rsidR="00D04061">
        <w:rPr>
          <w:rFonts w:eastAsia="Calibri"/>
          <w:lang w:eastAsia="en-US"/>
        </w:rPr>
        <w:t>laan</w:t>
      </w:r>
      <w:r w:rsidR="00F60F8D">
        <w:rPr>
          <w:rFonts w:eastAsia="Calibri"/>
          <w:lang w:eastAsia="en-US"/>
        </w:rPr>
        <w:t xml:space="preserve"> naar Station</w:t>
      </w:r>
      <w:r w:rsidR="00D04061">
        <w:rPr>
          <w:rFonts w:eastAsia="Calibri"/>
          <w:lang w:eastAsia="en-US"/>
        </w:rPr>
        <w:t>splein</w:t>
      </w:r>
      <w:r w:rsidR="00C74564">
        <w:rPr>
          <w:rFonts w:eastAsia="Calibri"/>
          <w:lang w:eastAsia="en-US"/>
        </w:rPr>
        <w:t xml:space="preserve">. Hierdoor is onze gasverbruik afgenomen, omdat Europalaan wel gas verbruikt, maar bij het Stationsplein is onlangs een warmtepomp ingesteld. Hierdoor zal alleen wel ons elektraverbruik nog meer toenemen. Ons inzicht in elektraverbruik </w:t>
      </w:r>
      <w:r w:rsidR="009F4008">
        <w:rPr>
          <w:rFonts w:eastAsia="Calibri"/>
          <w:lang w:eastAsia="en-US"/>
        </w:rPr>
        <w:t xml:space="preserve">is nog lastig om heel exact in te zien, omdat wij op meerdere locaties </w:t>
      </w:r>
      <w:r w:rsidR="00D93D5A">
        <w:rPr>
          <w:rFonts w:eastAsia="Calibri"/>
          <w:lang w:eastAsia="en-US"/>
        </w:rPr>
        <w:t xml:space="preserve">met andere in een pand zitten en het elektraverbruik </w:t>
      </w:r>
      <w:r w:rsidR="00F91F70">
        <w:rPr>
          <w:rFonts w:eastAsia="Calibri"/>
          <w:lang w:eastAsia="en-US"/>
        </w:rPr>
        <w:t xml:space="preserve">voor het gehele pand wordt bijgehouden, maar niet elke werklocatie. Veel locaties werken met een verdeelsleutel op basis van gehuurde vierkante meters. Wij willen wel in de toekomst gespreken aan om </w:t>
      </w:r>
      <w:r w:rsidR="009167D8">
        <w:rPr>
          <w:rFonts w:eastAsia="Calibri"/>
          <w:lang w:eastAsia="en-US"/>
        </w:rPr>
        <w:t xml:space="preserve">dit meer accuraat bij te houden en hiermee huurders die elektraverbruik besparen te belonen. Wellicht kunnen verhuurders slimme meters installeren. </w:t>
      </w:r>
    </w:p>
    <w:p w14:paraId="75478B25" w14:textId="77777777" w:rsidR="00376230" w:rsidRPr="008E7137" w:rsidRDefault="00376230" w:rsidP="00376230">
      <w:pPr>
        <w:rPr>
          <w:rFonts w:eastAsia="Calibri"/>
          <w:lang w:eastAsia="en-US"/>
        </w:rPr>
      </w:pPr>
    </w:p>
    <w:p w14:paraId="3A91FDD1" w14:textId="60046549" w:rsidR="00376230" w:rsidRDefault="00376230" w:rsidP="00376230">
      <w:pPr>
        <w:rPr>
          <w:rFonts w:ascii="Lucida Sans Unicode" w:eastAsia="Calibri" w:hAnsi="Lucida Sans Unicode" w:cs="Lucida Sans Unicode"/>
          <w:lang w:eastAsia="en-US"/>
        </w:rPr>
      </w:pPr>
    </w:p>
    <w:p w14:paraId="24CE3A49" w14:textId="3B6C185E" w:rsidR="007D348D" w:rsidRDefault="007D348D" w:rsidP="007D348D">
      <w:pPr>
        <w:pStyle w:val="MOBHoofdstuk"/>
        <w:rPr>
          <w:rFonts w:eastAsia="Calibri"/>
        </w:rPr>
      </w:pPr>
      <w:bookmarkStart w:id="46" w:name="_Toc85118632"/>
      <w:r>
        <w:rPr>
          <w:rFonts w:eastAsia="Calibri"/>
        </w:rPr>
        <w:lastRenderedPageBreak/>
        <w:t>Con</w:t>
      </w:r>
      <w:r w:rsidR="00355F3A">
        <w:rPr>
          <w:rFonts w:eastAsia="Calibri"/>
        </w:rPr>
        <w:t>C</w:t>
      </w:r>
      <w:r>
        <w:rPr>
          <w:rFonts w:eastAsia="Calibri"/>
        </w:rPr>
        <w:t>lusie</w:t>
      </w:r>
      <w:bookmarkEnd w:id="46"/>
    </w:p>
    <w:p w14:paraId="731A242F" w14:textId="14D419B6" w:rsidR="002B6F46" w:rsidRPr="002B6F46" w:rsidRDefault="002B6F46" w:rsidP="002B6F46">
      <w:pPr>
        <w:rPr>
          <w:rFonts w:eastAsia="Calibri"/>
          <w:lang w:eastAsia="en-US"/>
        </w:rPr>
      </w:pPr>
      <w:r w:rsidRPr="002B6F46">
        <w:rPr>
          <w:rFonts w:eastAsia="Calibri"/>
          <w:lang w:eastAsia="en-US"/>
        </w:rPr>
        <w:t>Dit rapport is op hoofdlijnen vastgesteld en geeft inzicht in de CO₂-uitstoot van Mobycon B.V. over de periode 2019 tot en met 2024. Het jaar 2019 is daarbij aangewezen als referentiejaar.</w:t>
      </w:r>
    </w:p>
    <w:p w14:paraId="4CEB19A8" w14:textId="77777777" w:rsidR="002B6F46" w:rsidRPr="002B6F46" w:rsidRDefault="002B6F46" w:rsidP="002B6F46">
      <w:pPr>
        <w:rPr>
          <w:rFonts w:eastAsia="Calibri"/>
          <w:color w:val="auto"/>
          <w:lang w:eastAsia="en-US"/>
        </w:rPr>
      </w:pPr>
      <w:r w:rsidRPr="002B6F46">
        <w:rPr>
          <w:rFonts w:eastAsia="Calibri"/>
          <w:color w:val="auto"/>
          <w:lang w:eastAsia="en-US"/>
        </w:rPr>
        <w:t>Ten opzichte van dit referentiejaar is de uitstoot aanzienlijk sterker gereduceerd dan verwacht. De totale footprint is de afgelopen jaren substantieel afgenomen en bestaat op dit moment grotendeels uit elektriciteitsverbruik. Verdere reductie is met name te realiseren door meer inzicht te verkrijgen in het verbruik en door de inzet van groene certificaten. Daarmee kan op termijn mogelijk een vrijwel CO₂-neutrale bedrijfsvoering worden bereikt. Tegelijkertijd geldt dat, zolang elektriciteitsverbruik nog als grijs wordt geregistreerd, de footprint tijdelijk kan toenemen door de toename van elektrisch rijden en het gebruik van warmtepompen.</w:t>
      </w:r>
    </w:p>
    <w:p w14:paraId="72442229" w14:textId="77777777" w:rsidR="002B6F46" w:rsidRPr="002B6F46" w:rsidRDefault="002B6F46" w:rsidP="002B6F46">
      <w:pPr>
        <w:rPr>
          <w:rFonts w:eastAsia="Calibri"/>
          <w:color w:val="auto"/>
          <w:lang w:eastAsia="en-US"/>
        </w:rPr>
      </w:pPr>
      <w:r w:rsidRPr="002B6F46">
        <w:rPr>
          <w:rFonts w:eastAsia="Calibri"/>
          <w:color w:val="auto"/>
          <w:lang w:eastAsia="en-US"/>
        </w:rPr>
        <w:t>De forse daling van de uitstoot is voornamelijk het gevolg van de verduurzaming van het wagenpark. Omdat mobiliteitsontwikkeling de kern vormt van onze activiteiten, blijft dit voor ons een belangrijk aandachtspunt. Vanuit die visie kiezen wij er ook bewust voor om onze kantoren nabij (trein)stations te vestigen.</w:t>
      </w:r>
    </w:p>
    <w:p w14:paraId="3ADF80D2" w14:textId="77777777" w:rsidR="002B6F46" w:rsidRPr="002B6F46" w:rsidRDefault="002B6F46" w:rsidP="002B6F46">
      <w:pPr>
        <w:rPr>
          <w:rFonts w:eastAsia="Calibri"/>
          <w:color w:val="auto"/>
          <w:lang w:eastAsia="en-US"/>
        </w:rPr>
      </w:pPr>
      <w:r w:rsidRPr="002B6F46">
        <w:rPr>
          <w:rFonts w:eastAsia="Calibri"/>
          <w:color w:val="auto"/>
          <w:lang w:eastAsia="en-US"/>
        </w:rPr>
        <w:t>Wij concluderen dat wij ons op een goede koers bevinden en dat onze CO₂-uitstoot jaar op jaar verder afneemt.</w:t>
      </w:r>
    </w:p>
    <w:p w14:paraId="35A2411A" w14:textId="2B5DD0EE" w:rsidR="00A517C2" w:rsidRPr="005F7BBC" w:rsidRDefault="00A517C2" w:rsidP="002B6F46">
      <w:pPr>
        <w:rPr>
          <w:rFonts w:eastAsia="Calibri"/>
          <w:lang w:eastAsia="en-US"/>
        </w:rPr>
      </w:pPr>
    </w:p>
    <w:p w14:paraId="631C4B4A" w14:textId="60319314" w:rsidR="00376230" w:rsidRPr="005F7BBC" w:rsidRDefault="00376230" w:rsidP="00374B88">
      <w:pPr>
        <w:pStyle w:val="MOBHoofdstuk"/>
      </w:pPr>
      <w:bookmarkStart w:id="47" w:name="_Toc85118633"/>
      <w:r w:rsidRPr="005F7BBC">
        <w:lastRenderedPageBreak/>
        <w:t>Identificatie van significant energieverbruik</w:t>
      </w:r>
      <w:bookmarkEnd w:id="47"/>
    </w:p>
    <w:p w14:paraId="4F81539D" w14:textId="7447BED3" w:rsidR="00376230" w:rsidRPr="002E5180" w:rsidRDefault="00376230" w:rsidP="00376230">
      <w:pPr>
        <w:rPr>
          <w:rFonts w:asciiTheme="minorHAnsi" w:hAnsiTheme="minorHAnsi" w:cstheme="minorHAnsi"/>
        </w:rPr>
      </w:pPr>
      <w:r w:rsidRPr="005F7BBC">
        <w:rPr>
          <w:rFonts w:asciiTheme="minorHAnsi" w:hAnsiTheme="minorHAnsi" w:cstheme="minorHAnsi"/>
        </w:rPr>
        <w:t xml:space="preserve">Verantwoordelijk voor het verbruik is met name het </w:t>
      </w:r>
      <w:r w:rsidR="005F7BBC" w:rsidRPr="005F7BBC">
        <w:rPr>
          <w:rFonts w:asciiTheme="minorHAnsi" w:hAnsiTheme="minorHAnsi" w:cstheme="minorHAnsi"/>
        </w:rPr>
        <w:t>elektriciteits</w:t>
      </w:r>
      <w:r w:rsidRPr="005F7BBC">
        <w:rPr>
          <w:rFonts w:asciiTheme="minorHAnsi" w:hAnsiTheme="minorHAnsi" w:cstheme="minorHAnsi"/>
        </w:rPr>
        <w:t xml:space="preserve">verbruik. Minder van belang </w:t>
      </w:r>
      <w:r w:rsidR="005F7BBC" w:rsidRPr="005F7BBC">
        <w:rPr>
          <w:rFonts w:asciiTheme="minorHAnsi" w:hAnsiTheme="minorHAnsi" w:cstheme="minorHAnsi"/>
        </w:rPr>
        <w:t>is het brandstofverbruik.</w:t>
      </w:r>
    </w:p>
    <w:p w14:paraId="2F717FEF" w14:textId="77777777" w:rsidR="00376230" w:rsidRDefault="00376230" w:rsidP="00376230">
      <w:pPr>
        <w:rPr>
          <w:rFonts w:ascii="Lucida Sans Unicode" w:hAnsi="Lucida Sans Unicode" w:cs="Lucida Sans Unicode"/>
        </w:rPr>
      </w:pPr>
    </w:p>
    <w:p w14:paraId="3045BBC2" w14:textId="77777777" w:rsidR="00376230" w:rsidRPr="008E7137" w:rsidRDefault="00376230" w:rsidP="00376230">
      <w:pPr>
        <w:rPr>
          <w:rFonts w:asciiTheme="minorHAnsi" w:hAnsiTheme="minorHAnsi" w:cstheme="minorHAnsi"/>
        </w:rPr>
      </w:pPr>
      <w:r w:rsidRPr="008E7137">
        <w:rPr>
          <w:rFonts w:asciiTheme="minorHAnsi" w:hAnsiTheme="minorHAnsi" w:cstheme="minorHAnsi"/>
        </w:rPr>
        <w:t>Het verbruik is in te delen in:</w:t>
      </w:r>
    </w:p>
    <w:tbl>
      <w:tblPr>
        <w:tblStyle w:val="Rastertabel1licht-Accent6"/>
        <w:tblW w:w="0" w:type="auto"/>
        <w:jc w:val="center"/>
        <w:tblLook w:val="04A0" w:firstRow="1" w:lastRow="0" w:firstColumn="1" w:lastColumn="0" w:noHBand="0" w:noVBand="1"/>
      </w:tblPr>
      <w:tblGrid>
        <w:gridCol w:w="3189"/>
        <w:gridCol w:w="4461"/>
      </w:tblGrid>
      <w:tr w:rsidR="00376230" w:rsidRPr="00777B3D" w14:paraId="37162F9C" w14:textId="77777777" w:rsidTr="00FD57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tcPr>
          <w:p w14:paraId="7E40C356" w14:textId="77777777" w:rsidR="00376230" w:rsidRPr="00777B3D" w:rsidRDefault="00376230" w:rsidP="00FD5788">
            <w:pPr>
              <w:rPr>
                <w:rFonts w:ascii="Lucida Sans Unicode" w:hAnsi="Lucida Sans Unicode" w:cs="Lucida Sans Unicode"/>
                <w:sz w:val="16"/>
              </w:rPr>
            </w:pPr>
            <w:r w:rsidRPr="00777B3D">
              <w:rPr>
                <w:rFonts w:ascii="Lucida Sans Unicode" w:hAnsi="Lucida Sans Unicode" w:cs="Lucida Sans Unicode"/>
                <w:sz w:val="16"/>
              </w:rPr>
              <w:t>Soort</w:t>
            </w:r>
          </w:p>
        </w:tc>
        <w:tc>
          <w:tcPr>
            <w:tcW w:w="4461" w:type="dxa"/>
          </w:tcPr>
          <w:p w14:paraId="1592AD7C" w14:textId="77777777" w:rsidR="00376230" w:rsidRPr="00777B3D" w:rsidRDefault="00376230" w:rsidP="00FD5788">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sidRPr="00777B3D">
              <w:rPr>
                <w:rFonts w:ascii="Lucida Sans Unicode" w:hAnsi="Lucida Sans Unicode" w:cs="Lucida Sans Unicode"/>
                <w:sz w:val="16"/>
              </w:rPr>
              <w:t>Verbruikers</w:t>
            </w:r>
          </w:p>
        </w:tc>
      </w:tr>
      <w:tr w:rsidR="00376230" w:rsidRPr="00777B3D" w14:paraId="09497957"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3189" w:type="dxa"/>
          </w:tcPr>
          <w:p w14:paraId="692D4B09" w14:textId="77777777" w:rsidR="00376230" w:rsidRPr="00777B3D" w:rsidRDefault="00376230" w:rsidP="00FD5788">
            <w:pPr>
              <w:rPr>
                <w:rFonts w:ascii="Lucida Sans Unicode" w:hAnsi="Lucida Sans Unicode" w:cs="Lucida Sans Unicode"/>
                <w:b w:val="0"/>
                <w:bCs w:val="0"/>
                <w:sz w:val="16"/>
              </w:rPr>
            </w:pPr>
            <w:r>
              <w:rPr>
                <w:rFonts w:ascii="Lucida Sans Unicode" w:hAnsi="Lucida Sans Unicode" w:cs="Lucida Sans Unicode"/>
                <w:b w:val="0"/>
                <w:bCs w:val="0"/>
                <w:sz w:val="16"/>
              </w:rPr>
              <w:t>Brandstofverbruik (diesel en benzine)</w:t>
            </w:r>
          </w:p>
        </w:tc>
        <w:tc>
          <w:tcPr>
            <w:tcW w:w="4461" w:type="dxa"/>
          </w:tcPr>
          <w:p w14:paraId="09A49088" w14:textId="77777777" w:rsidR="00376230" w:rsidRPr="00777B3D"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Pr>
                <w:rFonts w:ascii="Lucida Sans Unicode" w:hAnsi="Lucida Sans Unicode" w:cs="Lucida Sans Unicode"/>
                <w:sz w:val="16"/>
              </w:rPr>
              <w:t>Bedrijfsvoertuigen</w:t>
            </w:r>
          </w:p>
        </w:tc>
      </w:tr>
      <w:tr w:rsidR="00376230" w:rsidRPr="00777B3D" w14:paraId="1E144B5F"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3189" w:type="dxa"/>
          </w:tcPr>
          <w:p w14:paraId="62C0C077" w14:textId="77777777" w:rsidR="00376230" w:rsidRPr="00777B3D" w:rsidRDefault="00376230" w:rsidP="00FD5788">
            <w:pPr>
              <w:rPr>
                <w:rFonts w:ascii="Lucida Sans Unicode" w:hAnsi="Lucida Sans Unicode" w:cs="Lucida Sans Unicode"/>
                <w:b w:val="0"/>
                <w:bCs w:val="0"/>
                <w:sz w:val="16"/>
              </w:rPr>
            </w:pPr>
            <w:r>
              <w:rPr>
                <w:rFonts w:ascii="Lucida Sans Unicode" w:hAnsi="Lucida Sans Unicode" w:cs="Lucida Sans Unicode"/>
                <w:b w:val="0"/>
                <w:bCs w:val="0"/>
                <w:sz w:val="16"/>
              </w:rPr>
              <w:t>Elektriciteit</w:t>
            </w:r>
          </w:p>
        </w:tc>
        <w:tc>
          <w:tcPr>
            <w:tcW w:w="4461" w:type="dxa"/>
          </w:tcPr>
          <w:p w14:paraId="17A48879" w14:textId="77777777" w:rsidR="00376230" w:rsidRPr="00777B3D"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Pr>
                <w:rFonts w:ascii="Lucida Sans Unicode" w:hAnsi="Lucida Sans Unicode" w:cs="Lucida Sans Unicode"/>
                <w:sz w:val="16"/>
              </w:rPr>
              <w:t>Verlichting, kantoor- en keukenapparatuur, opladen elektrische voertuigen, stapelaar, opladen accu’s van gereedschappen</w:t>
            </w:r>
          </w:p>
        </w:tc>
      </w:tr>
      <w:tr w:rsidR="00376230" w:rsidRPr="00777B3D" w14:paraId="71CE99F3" w14:textId="77777777" w:rsidTr="00FD5788">
        <w:trPr>
          <w:jc w:val="center"/>
        </w:trPr>
        <w:tc>
          <w:tcPr>
            <w:cnfStyle w:val="001000000000" w:firstRow="0" w:lastRow="0" w:firstColumn="1" w:lastColumn="0" w:oddVBand="0" w:evenVBand="0" w:oddHBand="0" w:evenHBand="0" w:firstRowFirstColumn="0" w:firstRowLastColumn="0" w:lastRowFirstColumn="0" w:lastRowLastColumn="0"/>
            <w:tcW w:w="3189" w:type="dxa"/>
          </w:tcPr>
          <w:p w14:paraId="0B9C44F2" w14:textId="77777777" w:rsidR="00376230" w:rsidRPr="00777B3D" w:rsidRDefault="00376230" w:rsidP="00FD5788">
            <w:pPr>
              <w:rPr>
                <w:rFonts w:ascii="Lucida Sans Unicode" w:hAnsi="Lucida Sans Unicode" w:cs="Lucida Sans Unicode"/>
                <w:b w:val="0"/>
                <w:bCs w:val="0"/>
                <w:sz w:val="16"/>
              </w:rPr>
            </w:pPr>
            <w:r>
              <w:rPr>
                <w:rFonts w:ascii="Lucida Sans Unicode" w:hAnsi="Lucida Sans Unicode" w:cs="Lucida Sans Unicode"/>
                <w:b w:val="0"/>
                <w:bCs w:val="0"/>
                <w:sz w:val="16"/>
              </w:rPr>
              <w:t>Gas</w:t>
            </w:r>
          </w:p>
        </w:tc>
        <w:tc>
          <w:tcPr>
            <w:tcW w:w="4461" w:type="dxa"/>
          </w:tcPr>
          <w:p w14:paraId="050DABB2" w14:textId="77777777" w:rsidR="00376230"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r>
              <w:rPr>
                <w:rFonts w:ascii="Lucida Sans Unicode" w:hAnsi="Lucida Sans Unicode" w:cs="Lucida Sans Unicode"/>
                <w:sz w:val="16"/>
              </w:rPr>
              <w:t>Verwarming, warmwater</w:t>
            </w:r>
          </w:p>
          <w:p w14:paraId="78806C7B" w14:textId="77777777" w:rsidR="00376230" w:rsidRPr="00777B3D" w:rsidRDefault="00376230" w:rsidP="00FD5788">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rPr>
            </w:pPr>
          </w:p>
        </w:tc>
      </w:tr>
    </w:tbl>
    <w:p w14:paraId="1DF4F571" w14:textId="77777777" w:rsidR="00376230" w:rsidRPr="00B27DD9" w:rsidRDefault="00376230" w:rsidP="00376230">
      <w:pPr>
        <w:rPr>
          <w:rFonts w:ascii="Lucida Sans Unicode" w:hAnsi="Lucida Sans Unicode" w:cs="Lucida Sans Unicode"/>
          <w:b/>
          <w:color w:val="FF0000"/>
        </w:rPr>
      </w:pPr>
    </w:p>
    <w:p w14:paraId="5978B4C2" w14:textId="77777777" w:rsidR="00376230" w:rsidRPr="00B27DD9" w:rsidRDefault="00376230" w:rsidP="00374B88">
      <w:pPr>
        <w:pStyle w:val="MOBHoofdstuk"/>
      </w:pPr>
      <w:bookmarkStart w:id="48" w:name="_Toc85118634"/>
      <w:r w:rsidRPr="00B27DD9">
        <w:lastRenderedPageBreak/>
        <w:t>Vastleggen van prioriteiten en opportuniteiten</w:t>
      </w:r>
      <w:bookmarkEnd w:id="48"/>
    </w:p>
    <w:p w14:paraId="06BB65F9" w14:textId="77777777" w:rsidR="00376230" w:rsidRDefault="00376230" w:rsidP="00376230">
      <w:pPr>
        <w:rPr>
          <w:rFonts w:ascii="Lucida Sans Unicode" w:hAnsi="Lucida Sans Unicode" w:cs="Lucida Sans Unicode"/>
          <w:b/>
        </w:rPr>
      </w:pPr>
    </w:p>
    <w:p w14:paraId="5E43BFB9" w14:textId="77777777" w:rsidR="00376230" w:rsidRPr="00B27DD9" w:rsidRDefault="00376230" w:rsidP="00374B88">
      <w:pPr>
        <w:pStyle w:val="MOBParagraaf"/>
      </w:pPr>
      <w:bookmarkStart w:id="49" w:name="_Toc85118635"/>
      <w:r>
        <w:t>Bedrijfsvoertuigen</w:t>
      </w:r>
      <w:r w:rsidRPr="00B27DD9">
        <w:t>:</w:t>
      </w:r>
      <w:bookmarkEnd w:id="49"/>
    </w:p>
    <w:p w14:paraId="681EF3DF" w14:textId="77777777" w:rsidR="00376230" w:rsidRPr="002E5180" w:rsidRDefault="00376230" w:rsidP="00376230">
      <w:pPr>
        <w:rPr>
          <w:rFonts w:asciiTheme="minorHAnsi" w:hAnsiTheme="minorHAnsi" w:cstheme="minorHAnsi"/>
        </w:rPr>
      </w:pPr>
      <w:r w:rsidRPr="002E5180">
        <w:rPr>
          <w:rFonts w:asciiTheme="minorHAnsi" w:hAnsiTheme="minorHAnsi" w:cstheme="minorHAnsi"/>
        </w:rPr>
        <w:t>Bij de aanschaf van nieuwe voertuigen wordt steeds zorgvuldig de afweging gemaakt of een voertuig of fossiele brandstof vervangen kan worden door een (deels) elektrisch voertuig.</w:t>
      </w:r>
    </w:p>
    <w:p w14:paraId="067E9FC9" w14:textId="024E89D8" w:rsidR="00376230" w:rsidRPr="002E5180" w:rsidRDefault="00376230" w:rsidP="00376230">
      <w:pPr>
        <w:rPr>
          <w:rFonts w:asciiTheme="minorHAnsi" w:hAnsiTheme="minorHAnsi" w:cstheme="minorHAnsi"/>
        </w:rPr>
      </w:pPr>
      <w:r w:rsidRPr="002E5180">
        <w:rPr>
          <w:rFonts w:asciiTheme="minorHAnsi" w:hAnsiTheme="minorHAnsi" w:cstheme="minorHAnsi"/>
        </w:rPr>
        <w:t xml:space="preserve">Daarnaast wordt erg veel aandacht gegeven aan het efficiënt inplannen van werkzaamheden en </w:t>
      </w:r>
      <w:r w:rsidRPr="000B4D08">
        <w:rPr>
          <w:rFonts w:asciiTheme="minorHAnsi" w:hAnsiTheme="minorHAnsi" w:cstheme="minorHAnsi"/>
        </w:rPr>
        <w:t>acquisitiegesprekken en/of opnames om het aantal te rijden kilometers zo beperkt mogelijk te houden.</w:t>
      </w:r>
      <w:r w:rsidR="00374B88" w:rsidRPr="000B4D08">
        <w:rPr>
          <w:rFonts w:asciiTheme="minorHAnsi" w:hAnsiTheme="minorHAnsi" w:cstheme="minorHAnsi"/>
        </w:rPr>
        <w:t xml:space="preserve"> Aan het arbeidsreglement 09_2021 is</w:t>
      </w:r>
      <w:r w:rsidR="00374B88" w:rsidRPr="002E5180">
        <w:rPr>
          <w:rFonts w:asciiTheme="minorHAnsi" w:hAnsiTheme="minorHAnsi" w:cstheme="minorHAnsi"/>
        </w:rPr>
        <w:t xml:space="preserve"> een nieuwe mobiliteitsregeling toegevoegd waarbij het reizen met het ov en fiets nog verder wordt gestimuleerd. Ook is hieraan toegevoegd dat we streven naar een zero emissie wagenpark in 2025.</w:t>
      </w:r>
    </w:p>
    <w:p w14:paraId="42C49977" w14:textId="77777777" w:rsidR="00376230" w:rsidRPr="00B27DD9" w:rsidRDefault="00376230" w:rsidP="00376230">
      <w:pPr>
        <w:rPr>
          <w:rFonts w:ascii="Lucida Sans Unicode" w:hAnsi="Lucida Sans Unicode" w:cs="Lucida Sans Unicode"/>
          <w:color w:val="FF0000"/>
        </w:rPr>
      </w:pPr>
    </w:p>
    <w:p w14:paraId="0B4053F5" w14:textId="77777777" w:rsidR="00376230" w:rsidRPr="00B27DD9" w:rsidRDefault="00376230" w:rsidP="00374B88">
      <w:pPr>
        <w:pStyle w:val="MOBParagraaf"/>
      </w:pPr>
      <w:bookmarkStart w:id="50" w:name="_Toc85118636"/>
      <w:r w:rsidRPr="00B27DD9">
        <w:t>Kanto</w:t>
      </w:r>
      <w:r>
        <w:t>ren</w:t>
      </w:r>
      <w:r w:rsidRPr="00B27DD9">
        <w:t>:</w:t>
      </w:r>
      <w:bookmarkEnd w:id="50"/>
    </w:p>
    <w:p w14:paraId="3DE19CCB" w14:textId="55E02E05" w:rsidR="00376230" w:rsidRPr="002E5180" w:rsidRDefault="00376230" w:rsidP="00376230">
      <w:pPr>
        <w:rPr>
          <w:rFonts w:asciiTheme="minorHAnsi" w:hAnsiTheme="minorHAnsi" w:cstheme="minorHAnsi"/>
          <w:lang w:eastAsia="en-US"/>
        </w:rPr>
      </w:pPr>
      <w:r w:rsidRPr="002E5180">
        <w:rPr>
          <w:rFonts w:asciiTheme="minorHAnsi" w:hAnsiTheme="minorHAnsi" w:cstheme="minorHAnsi"/>
          <w:lang w:eastAsia="en-US"/>
        </w:rPr>
        <w:t xml:space="preserve">De mogelijkheden op het kantoor om tot een </w:t>
      </w:r>
      <w:r w:rsidR="00261F55">
        <w:rPr>
          <w:rFonts w:asciiTheme="minorHAnsi" w:hAnsiTheme="minorHAnsi" w:cstheme="minorHAnsi"/>
          <w:lang w:eastAsia="en-US"/>
        </w:rPr>
        <w:t>CO2</w:t>
      </w:r>
      <w:r w:rsidRPr="002E5180">
        <w:rPr>
          <w:rFonts w:asciiTheme="minorHAnsi" w:hAnsiTheme="minorHAnsi" w:cstheme="minorHAnsi"/>
          <w:lang w:eastAsia="en-US"/>
        </w:rPr>
        <w:t>-reductie zijn beperkt</w:t>
      </w:r>
      <w:r w:rsidR="0005747A">
        <w:rPr>
          <w:rFonts w:asciiTheme="minorHAnsi" w:hAnsiTheme="minorHAnsi" w:cstheme="minorHAnsi"/>
          <w:lang w:eastAsia="en-US"/>
        </w:rPr>
        <w:t xml:space="preserve"> hoewel de vestigingen Delft en Den Bosch hier wel grote stappen in zetten door middel van de aankoop van zonnepanelen. </w:t>
      </w:r>
    </w:p>
    <w:p w14:paraId="53F41A45" w14:textId="41B743B6" w:rsidR="00374B88" w:rsidRPr="002E5180" w:rsidRDefault="00374B88" w:rsidP="00376230">
      <w:pPr>
        <w:rPr>
          <w:rFonts w:asciiTheme="minorHAnsi" w:hAnsiTheme="minorHAnsi" w:cstheme="minorHAnsi"/>
          <w:lang w:eastAsia="en-US"/>
        </w:rPr>
      </w:pPr>
      <w:r w:rsidRPr="002E5180">
        <w:rPr>
          <w:rFonts w:asciiTheme="minorHAnsi" w:hAnsiTheme="minorHAnsi" w:cstheme="minorHAnsi"/>
          <w:lang w:eastAsia="en-US"/>
        </w:rPr>
        <w:t xml:space="preserve">Doch door het stimuleren van hybride werken, kan er op den duur worden gekeken naar kleinere kantoorruimten. </w:t>
      </w:r>
    </w:p>
    <w:p w14:paraId="1348F9D5" w14:textId="67D3F3B0" w:rsidR="00376230" w:rsidRDefault="00376230" w:rsidP="00376230">
      <w:pPr>
        <w:rPr>
          <w:rFonts w:ascii="Lucida Sans Unicode" w:hAnsi="Lucida Sans Unicode" w:cs="Lucida Sans Unicode"/>
          <w:lang w:eastAsia="en-US"/>
        </w:rPr>
      </w:pPr>
    </w:p>
    <w:p w14:paraId="49388BDE" w14:textId="77777777" w:rsidR="002E5180" w:rsidRDefault="002E5180" w:rsidP="00376230">
      <w:pPr>
        <w:rPr>
          <w:rFonts w:ascii="Lucida Sans Unicode" w:hAnsi="Lucida Sans Unicode" w:cs="Lucida Sans Unicode"/>
          <w:lang w:eastAsia="en-US"/>
        </w:rPr>
      </w:pPr>
    </w:p>
    <w:p w14:paraId="327A7E44" w14:textId="77777777" w:rsidR="00F83A7D" w:rsidRDefault="00F83A7D" w:rsidP="004D473A"/>
    <w:p w14:paraId="204ABFC3" w14:textId="77777777" w:rsidR="00F83A7D" w:rsidRPr="00642F18" w:rsidRDefault="00F83A7D" w:rsidP="004D473A">
      <w:r>
        <w:rPr>
          <w:noProof/>
        </w:rPr>
        <w:drawing>
          <wp:anchor distT="0" distB="0" distL="114300" distR="114300" simplePos="0" relativeHeight="251678720" behindDoc="0" locked="0" layoutInCell="1" allowOverlap="1" wp14:anchorId="00F0AB81" wp14:editId="2BF0161B">
            <wp:simplePos x="0" y="0"/>
            <wp:positionH relativeFrom="column">
              <wp:posOffset>0</wp:posOffset>
            </wp:positionH>
            <wp:positionV relativeFrom="paragraph">
              <wp:posOffset>176530</wp:posOffset>
            </wp:positionV>
            <wp:extent cx="5753100" cy="3238500"/>
            <wp:effectExtent l="0" t="0" r="12700" b="12700"/>
            <wp:wrapThrough wrapText="bothSides">
              <wp:wrapPolygon edited="0">
                <wp:start x="0" y="0"/>
                <wp:lineTo x="0" y="21515"/>
                <wp:lineTo x="21552" y="21515"/>
                <wp:lineTo x="21552" y="0"/>
                <wp:lineTo x="0" y="0"/>
              </wp:wrapPolygon>
            </wp:wrapThrough>
            <wp:docPr id="3" name="Afbeelding 3" descr="../../11063%20MOB%20Traineeship/02%20-%20Images/viktor-kern-65655%2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63%20MOB%20Traineeship/02%20-%20Images/viktor-kern-65655%20L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AB8F8" w14:textId="77777777" w:rsidR="00C57BE4" w:rsidRPr="00642F18" w:rsidRDefault="00C57BE4" w:rsidP="004D473A"/>
    <w:p w14:paraId="757D1D65" w14:textId="15D6F60D" w:rsidR="003E027C" w:rsidRDefault="003E027C" w:rsidP="004D473A"/>
    <w:p w14:paraId="72AA0099" w14:textId="77777777" w:rsidR="002E5180" w:rsidRPr="00642F18" w:rsidRDefault="002E5180" w:rsidP="004D473A"/>
    <w:p w14:paraId="5BDD9E55" w14:textId="77777777" w:rsidR="004D35FD" w:rsidRPr="00642F18" w:rsidRDefault="003E027C" w:rsidP="004D473A">
      <w:r w:rsidRPr="00642F18">
        <w:rPr>
          <w:noProof/>
        </w:rPr>
        <w:drawing>
          <wp:anchor distT="0" distB="0" distL="114300" distR="114300" simplePos="0" relativeHeight="251673600" behindDoc="1" locked="0" layoutInCell="1" allowOverlap="1" wp14:anchorId="348CE406" wp14:editId="1C1493D5">
            <wp:simplePos x="0" y="0"/>
            <wp:positionH relativeFrom="page">
              <wp:align>left</wp:align>
            </wp:positionH>
            <wp:positionV relativeFrom="page">
              <wp:align>top</wp:align>
            </wp:positionV>
            <wp:extent cx="7660800" cy="10728000"/>
            <wp:effectExtent l="0" t="0" r="1016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0-%20Images/10522%20FOR%20Rapport%20v5-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60800" cy="10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FF96B" w14:textId="77777777" w:rsidR="001B60F5" w:rsidRPr="00642F18" w:rsidRDefault="001B60F5" w:rsidP="004D473A"/>
    <w:sectPr w:rsidR="001B60F5" w:rsidRPr="00642F18" w:rsidSect="00067D1E">
      <w:headerReference w:type="default" r:id="rId15"/>
      <w:footerReference w:type="default" r:id="rId16"/>
      <w:headerReference w:type="first" r:id="rId17"/>
      <w:pgSz w:w="11900" w:h="16820"/>
      <w:pgMar w:top="1823" w:right="1417" w:bottom="1720" w:left="1417" w:header="735" w:footer="4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6DE36" w14:textId="77777777" w:rsidR="003C25AC" w:rsidRDefault="003C25AC" w:rsidP="004D473A">
      <w:r>
        <w:separator/>
      </w:r>
    </w:p>
  </w:endnote>
  <w:endnote w:type="continuationSeparator" w:id="0">
    <w:p w14:paraId="1FCAE152" w14:textId="77777777" w:rsidR="003C25AC" w:rsidRDefault="003C25AC" w:rsidP="004D4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48E6C" w14:textId="16604452" w:rsidR="007B497C" w:rsidRPr="004D473A" w:rsidRDefault="004D473A" w:rsidP="004D473A">
    <w:pPr>
      <w:pStyle w:val="Voettekst"/>
    </w:pPr>
    <w:r w:rsidRPr="004D473A">
      <w:t xml:space="preserve">Pagina </w:t>
    </w:r>
    <w:r w:rsidRPr="004D473A">
      <w:fldChar w:fldCharType="begin"/>
    </w:r>
    <w:r w:rsidRPr="004D473A">
      <w:instrText xml:space="preserve"> PAGE  \* MERGEFORMAT </w:instrText>
    </w:r>
    <w:r w:rsidRPr="004D473A">
      <w:fldChar w:fldCharType="separate"/>
    </w:r>
    <w:r w:rsidR="00A52FB0">
      <w:rPr>
        <w:noProof/>
      </w:rPr>
      <w:t>9</w:t>
    </w:r>
    <w:r w:rsidRPr="004D473A">
      <w:fldChar w:fldCharType="end"/>
    </w:r>
    <w:r w:rsidRPr="004D473A">
      <w:t xml:space="preserve"> van </w:t>
    </w:r>
    <w:r w:rsidR="00ED1762">
      <w:rPr>
        <w:noProof/>
      </w:rPr>
      <w:fldChar w:fldCharType="begin"/>
    </w:r>
    <w:r w:rsidR="00ED1762">
      <w:rPr>
        <w:noProof/>
      </w:rPr>
      <w:instrText xml:space="preserve"> SECTIONPAGES  \* MERGEFORMAT </w:instrText>
    </w:r>
    <w:r w:rsidR="00ED1762">
      <w:rPr>
        <w:noProof/>
      </w:rPr>
      <w:fldChar w:fldCharType="separate"/>
    </w:r>
    <w:r w:rsidR="000532E7">
      <w:rPr>
        <w:noProof/>
      </w:rPr>
      <w:t>21</w:t>
    </w:r>
    <w:r w:rsidR="00ED1762">
      <w:rPr>
        <w:noProof/>
      </w:rPr>
      <w:fldChar w:fldCharType="end"/>
    </w:r>
    <w:r w:rsidR="00545961" w:rsidRPr="004D473A">
      <w:rPr>
        <w:noProof/>
      </w:rPr>
      <w:drawing>
        <wp:anchor distT="0" distB="0" distL="114300" distR="114300" simplePos="0" relativeHeight="251674624" behindDoc="1" locked="0" layoutInCell="1" allowOverlap="1" wp14:anchorId="1AAF378A" wp14:editId="4EF25FFB">
          <wp:simplePos x="0" y="0"/>
          <wp:positionH relativeFrom="page">
            <wp:posOffset>6731635</wp:posOffset>
          </wp:positionH>
          <wp:positionV relativeFrom="page">
            <wp:posOffset>7205980</wp:posOffset>
          </wp:positionV>
          <wp:extent cx="842400" cy="3258000"/>
          <wp:effectExtent l="0" t="0" r="0" b="0"/>
          <wp:wrapNone/>
          <wp:docPr id="25" name="Afbeelding 25" descr="../02%20-%20Image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0-%20Image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400" cy="325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97C" w:rsidRPr="004D473A">
      <w:rPr>
        <w:noProof/>
      </w:rPr>
      <w:drawing>
        <wp:anchor distT="0" distB="0" distL="114300" distR="114300" simplePos="0" relativeHeight="251661312" behindDoc="1" locked="0" layoutInCell="1" allowOverlap="1" wp14:anchorId="4358F886" wp14:editId="47430C70">
          <wp:simplePos x="0" y="0"/>
          <wp:positionH relativeFrom="page">
            <wp:posOffset>-565461</wp:posOffset>
          </wp:positionH>
          <wp:positionV relativeFrom="page">
            <wp:posOffset>14570818</wp:posOffset>
          </wp:positionV>
          <wp:extent cx="7560000" cy="3052800"/>
          <wp:effectExtent l="0" t="0" r="9525" b="0"/>
          <wp:wrapNone/>
          <wp:docPr id="21" name="Afbeelding 21" descr="../02%20-%20Images/10522%20FOR%20Rapport%20v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0-%20Images/10522%20FOR%20Rapport%20v5-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3052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7B6FF" w14:textId="77777777" w:rsidR="003C25AC" w:rsidRDefault="003C25AC" w:rsidP="004D473A">
      <w:r>
        <w:separator/>
      </w:r>
    </w:p>
  </w:footnote>
  <w:footnote w:type="continuationSeparator" w:id="0">
    <w:p w14:paraId="1636F672" w14:textId="77777777" w:rsidR="003C25AC" w:rsidRDefault="003C25AC" w:rsidP="004D4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97402" w14:textId="25AD0B80" w:rsidR="007B497C" w:rsidRPr="00067D1E" w:rsidRDefault="000B2DEE" w:rsidP="00067D1E">
    <w:pPr>
      <w:pStyle w:val="Koptekst"/>
    </w:pPr>
    <w:r w:rsidRPr="008E7137">
      <w:rPr>
        <w:noProof/>
      </w:rPr>
      <w:drawing>
        <wp:anchor distT="0" distB="0" distL="114300" distR="114300" simplePos="0" relativeHeight="251660287" behindDoc="1" locked="0" layoutInCell="1" allowOverlap="1" wp14:anchorId="629EFA40" wp14:editId="07F3451E">
          <wp:simplePos x="0" y="0"/>
          <wp:positionH relativeFrom="page">
            <wp:align>left</wp:align>
          </wp:positionH>
          <wp:positionV relativeFrom="page">
            <wp:align>top</wp:align>
          </wp:positionV>
          <wp:extent cx="7570800" cy="878400"/>
          <wp:effectExtent l="0" t="0" r="0" b="0"/>
          <wp:wrapNone/>
          <wp:docPr id="28" name="Afbeelding 28" descr="../02%20-%20Images/Heade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20-%20Images/Header%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87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F55">
      <w:t>CO2</w:t>
    </w:r>
    <w:r w:rsidR="002975A2" w:rsidRPr="008E7137">
      <w:t xml:space="preserve"> emissie inventaris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94626" w14:textId="77777777" w:rsidR="007B497C" w:rsidRDefault="001078BA" w:rsidP="004D473A">
    <w:pPr>
      <w:pStyle w:val="Koptekst"/>
    </w:pPr>
    <w:r>
      <w:rPr>
        <w:noProof/>
      </w:rPr>
      <w:drawing>
        <wp:anchor distT="0" distB="0" distL="114300" distR="114300" simplePos="0" relativeHeight="251671552" behindDoc="1" locked="0" layoutInCell="1" allowOverlap="1" wp14:anchorId="724103C5" wp14:editId="433A89AA">
          <wp:simplePos x="0" y="0"/>
          <wp:positionH relativeFrom="page">
            <wp:align>left</wp:align>
          </wp:positionH>
          <wp:positionV relativeFrom="page">
            <wp:align>top</wp:align>
          </wp:positionV>
          <wp:extent cx="7563600" cy="10691473"/>
          <wp:effectExtent l="0" t="0" r="5715" b="254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20-%20PDF/10994%20MOB%20Rapport%20v1.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600" cy="1069147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B5384"/>
    <w:multiLevelType w:val="multilevel"/>
    <w:tmpl w:val="C7D4A008"/>
    <w:lvl w:ilvl="0">
      <w:start w:val="1"/>
      <w:numFmt w:val="decimal"/>
      <w:pStyle w:val="MOBOpsommingCijfers"/>
      <w:lvlText w:val="%1."/>
      <w:lvlJc w:val="left"/>
      <w:pPr>
        <w:ind w:left="360" w:hanging="360"/>
      </w:pPr>
      <w:rPr>
        <w:rFonts w:hint="default"/>
        <w:b/>
        <w:i w:val="0"/>
        <w:color w:val="13A4C2"/>
        <w:sz w:val="20"/>
      </w:rPr>
    </w:lvl>
    <w:lvl w:ilvl="1">
      <w:start w:val="1"/>
      <w:numFmt w:val="decimal"/>
      <w:lvlText w:val="%1.%2."/>
      <w:lvlJc w:val="left"/>
      <w:pPr>
        <w:ind w:left="851" w:hanging="491"/>
      </w:pPr>
      <w:rPr>
        <w:rFonts w:hint="default"/>
        <w:b/>
        <w:i w:val="0"/>
        <w:color w:val="13A4C2"/>
      </w:rPr>
    </w:lvl>
    <w:lvl w:ilvl="2">
      <w:start w:val="1"/>
      <w:numFmt w:val="decimal"/>
      <w:lvlText w:val="%1.%2.%3."/>
      <w:lvlJc w:val="left"/>
      <w:pPr>
        <w:ind w:left="1559" w:hanging="708"/>
      </w:pPr>
      <w:rPr>
        <w:rFonts w:hint="default"/>
        <w:b/>
        <w:i w:val="0"/>
        <w:color w:val="13A4C2"/>
      </w:rPr>
    </w:lvl>
    <w:lvl w:ilvl="3">
      <w:start w:val="1"/>
      <w:numFmt w:val="decimal"/>
      <w:lvlText w:val="%1.%2.%3.%4."/>
      <w:lvlJc w:val="left"/>
      <w:pPr>
        <w:ind w:left="1701"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6AA0F63"/>
    <w:multiLevelType w:val="hybridMultilevel"/>
    <w:tmpl w:val="F768E9FC"/>
    <w:lvl w:ilvl="0" w:tplc="66A8B896">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3A0FF6"/>
    <w:multiLevelType w:val="multilevel"/>
    <w:tmpl w:val="5BB6A974"/>
    <w:lvl w:ilvl="0">
      <w:start w:val="1"/>
      <w:numFmt w:val="decimal"/>
      <w:lvlText w:val="%1."/>
      <w:lvlJc w:val="left"/>
      <w:pPr>
        <w:tabs>
          <w:tab w:val="num" w:pos="567"/>
        </w:tabs>
        <w:ind w:left="567" w:hanging="567"/>
      </w:pPr>
      <w:rPr>
        <w:rFonts w:asciiTheme="minorHAnsi" w:hAnsiTheme="minorHAnsi" w:hint="default"/>
        <w:b/>
        <w:i w:val="0"/>
        <w:caps/>
        <w:color w:val="87AF3F"/>
      </w:rPr>
    </w:lvl>
    <w:lvl w:ilvl="1">
      <w:start w:val="1"/>
      <w:numFmt w:val="decimal"/>
      <w:lvlText w:val="%1.%2."/>
      <w:lvlJc w:val="left"/>
      <w:pPr>
        <w:tabs>
          <w:tab w:val="num" w:pos="567"/>
        </w:tabs>
        <w:ind w:left="567" w:hanging="567"/>
      </w:pPr>
      <w:rPr>
        <w:rFonts w:asciiTheme="minorHAnsi" w:hAnsiTheme="minorHAnsi" w:hint="default"/>
        <w:b/>
        <w:i w:val="0"/>
        <w:color w:val="87AF3F"/>
      </w:rPr>
    </w:lvl>
    <w:lvl w:ilvl="2">
      <w:start w:val="1"/>
      <w:numFmt w:val="decimal"/>
      <w:lvlText w:val="%1.%2.%3."/>
      <w:lvlJc w:val="left"/>
      <w:pPr>
        <w:tabs>
          <w:tab w:val="num" w:pos="567"/>
        </w:tabs>
        <w:ind w:left="567" w:hanging="567"/>
      </w:pPr>
      <w:rPr>
        <w:rFonts w:asciiTheme="minorHAnsi" w:hAnsiTheme="minorHAnsi" w:hint="default"/>
        <w:color w:val="87AF3F"/>
      </w:rPr>
    </w:lvl>
    <w:lvl w:ilvl="3">
      <w:start w:val="1"/>
      <w:numFmt w:val="none"/>
      <w:pStyle w:val="Kop4"/>
      <w:suff w:val="nothing"/>
      <w:lvlText w:val=""/>
      <w:lvlJc w:val="left"/>
      <w:pPr>
        <w:ind w:left="0" w:firstLine="0"/>
      </w:pPr>
      <w:rPr>
        <w:rFonts w:hint="default"/>
      </w:rPr>
    </w:lvl>
    <w:lvl w:ilvl="4">
      <w:start w:val="1"/>
      <w:numFmt w:val="none"/>
      <w:pStyle w:val="Kop5"/>
      <w:suff w:val="nothing"/>
      <w:lvlText w:val=""/>
      <w:lvlJc w:val="left"/>
      <w:pPr>
        <w:ind w:left="0" w:firstLine="0"/>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3" w15:restartNumberingAfterBreak="0">
    <w:nsid w:val="295B52EF"/>
    <w:multiLevelType w:val="multilevel"/>
    <w:tmpl w:val="73B6811A"/>
    <w:lvl w:ilvl="0">
      <w:start w:val="1"/>
      <w:numFmt w:val="bullet"/>
      <w:pStyle w:val="MOBOpsomming"/>
      <w:lvlText w:val=""/>
      <w:lvlJc w:val="left"/>
      <w:pPr>
        <w:tabs>
          <w:tab w:val="num" w:pos="284"/>
        </w:tabs>
        <w:ind w:left="284" w:hanging="284"/>
      </w:pPr>
      <w:rPr>
        <w:rFonts w:ascii="Symbol" w:hAnsi="Symbol" w:hint="default"/>
        <w:color w:val="13A4C2"/>
      </w:rPr>
    </w:lvl>
    <w:lvl w:ilvl="1">
      <w:start w:val="1"/>
      <w:numFmt w:val="bullet"/>
      <w:lvlText w:val="o"/>
      <w:lvlJc w:val="left"/>
      <w:pPr>
        <w:tabs>
          <w:tab w:val="num" w:pos="567"/>
        </w:tabs>
        <w:ind w:left="567" w:hanging="283"/>
      </w:pPr>
      <w:rPr>
        <w:rFonts w:ascii="Courier New" w:hAnsi="Courier New" w:hint="default"/>
        <w:color w:val="13A4C2"/>
      </w:rPr>
    </w:lvl>
    <w:lvl w:ilvl="2">
      <w:start w:val="1"/>
      <w:numFmt w:val="bullet"/>
      <w:lvlText w:val=""/>
      <w:lvlJc w:val="left"/>
      <w:pPr>
        <w:ind w:left="851" w:hanging="284"/>
      </w:pPr>
      <w:rPr>
        <w:rFonts w:ascii="Wingdings" w:hAnsi="Wingdings" w:hint="default"/>
        <w:color w:val="13A4C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F0639B8"/>
    <w:multiLevelType w:val="multilevel"/>
    <w:tmpl w:val="149C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DC1EA9"/>
    <w:multiLevelType w:val="hybridMultilevel"/>
    <w:tmpl w:val="2DAA33C4"/>
    <w:lvl w:ilvl="0" w:tplc="7B8045D4">
      <w:start w:val="6"/>
      <w:numFmt w:val="bullet"/>
      <w:lvlText w:val=""/>
      <w:lvlJc w:val="left"/>
      <w:pPr>
        <w:ind w:left="720" w:hanging="360"/>
      </w:pPr>
      <w:rPr>
        <w:rFonts w:ascii="Symbol" w:eastAsia="Times New Roman" w:hAnsi="Symbol"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BDC22A4"/>
    <w:multiLevelType w:val="hybridMultilevel"/>
    <w:tmpl w:val="2F3C7758"/>
    <w:lvl w:ilvl="0" w:tplc="45065CB0">
      <w:numFmt w:val="bullet"/>
      <w:lvlText w:val="•"/>
      <w:lvlJc w:val="left"/>
      <w:pPr>
        <w:ind w:left="1065" w:hanging="705"/>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19E00E8"/>
    <w:multiLevelType w:val="multilevel"/>
    <w:tmpl w:val="C0B687CE"/>
    <w:lvl w:ilvl="0">
      <w:start w:val="1"/>
      <w:numFmt w:val="decimal"/>
      <w:pStyle w:val="MOBHoofdstuk"/>
      <w:lvlText w:val="%1."/>
      <w:lvlJc w:val="left"/>
      <w:pPr>
        <w:ind w:left="432" w:hanging="432"/>
      </w:pPr>
      <w:rPr>
        <w:rFonts w:asciiTheme="minorHAnsi" w:hAnsiTheme="minorHAnsi" w:hint="default"/>
        <w:b/>
        <w:i w:val="0"/>
        <w:caps/>
        <w:color w:val="86B34D"/>
        <w:sz w:val="24"/>
      </w:rPr>
    </w:lvl>
    <w:lvl w:ilvl="1">
      <w:start w:val="1"/>
      <w:numFmt w:val="decimal"/>
      <w:pStyle w:val="MOBParagraaf"/>
      <w:lvlText w:val="%1.%2"/>
      <w:lvlJc w:val="left"/>
      <w:pPr>
        <w:ind w:left="576" w:hanging="576"/>
      </w:pPr>
      <w:rPr>
        <w:rFonts w:asciiTheme="minorHAnsi" w:hAnsiTheme="minorHAnsi" w:hint="default"/>
        <w:b/>
        <w:i w:val="0"/>
        <w:color w:val="86B34D"/>
        <w:sz w:val="26"/>
      </w:rPr>
    </w:lvl>
    <w:lvl w:ilvl="2">
      <w:start w:val="1"/>
      <w:numFmt w:val="decimal"/>
      <w:pStyle w:val="MOBSubparagraaf"/>
      <w:lvlText w:val="%1.%2.%3"/>
      <w:lvlJc w:val="left"/>
      <w:pPr>
        <w:ind w:left="720" w:hanging="720"/>
      </w:pPr>
      <w:rPr>
        <w:rFonts w:asciiTheme="minorHAnsi" w:hAnsiTheme="minorHAnsi" w:hint="default"/>
        <w:b/>
        <w:i w:val="0"/>
        <w:color w:val="86B34D"/>
        <w:sz w:val="1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76290633">
    <w:abstractNumId w:val="0"/>
  </w:num>
  <w:num w:numId="2" w16cid:durableId="511917375">
    <w:abstractNumId w:val="2"/>
  </w:num>
  <w:num w:numId="3" w16cid:durableId="909078128">
    <w:abstractNumId w:val="3"/>
  </w:num>
  <w:num w:numId="4" w16cid:durableId="1652447320">
    <w:abstractNumId w:val="7"/>
  </w:num>
  <w:num w:numId="5" w16cid:durableId="619722712">
    <w:abstractNumId w:val="1"/>
  </w:num>
  <w:num w:numId="6" w16cid:durableId="899558636">
    <w:abstractNumId w:val="5"/>
  </w:num>
  <w:num w:numId="7" w16cid:durableId="136070208">
    <w:abstractNumId w:val="6"/>
  </w:num>
  <w:num w:numId="8" w16cid:durableId="375664833">
    <w:abstractNumId w:val="4"/>
  </w:num>
  <w:num w:numId="9" w16cid:durableId="97946028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230"/>
    <w:rsid w:val="0001223B"/>
    <w:rsid w:val="000143EF"/>
    <w:rsid w:val="00017A87"/>
    <w:rsid w:val="000232C3"/>
    <w:rsid w:val="000441DD"/>
    <w:rsid w:val="00044480"/>
    <w:rsid w:val="000478C4"/>
    <w:rsid w:val="000532E7"/>
    <w:rsid w:val="00053540"/>
    <w:rsid w:val="00055E93"/>
    <w:rsid w:val="0005747A"/>
    <w:rsid w:val="00065A61"/>
    <w:rsid w:val="000660E4"/>
    <w:rsid w:val="00066FF8"/>
    <w:rsid w:val="00067D1E"/>
    <w:rsid w:val="00087A93"/>
    <w:rsid w:val="00091A50"/>
    <w:rsid w:val="000A672B"/>
    <w:rsid w:val="000A7EAB"/>
    <w:rsid w:val="000B2450"/>
    <w:rsid w:val="000B2DEE"/>
    <w:rsid w:val="000B4D08"/>
    <w:rsid w:val="000C0647"/>
    <w:rsid w:val="000D4B69"/>
    <w:rsid w:val="0010480F"/>
    <w:rsid w:val="001078BA"/>
    <w:rsid w:val="001114DF"/>
    <w:rsid w:val="00115E9A"/>
    <w:rsid w:val="001168C3"/>
    <w:rsid w:val="00120CC4"/>
    <w:rsid w:val="00133365"/>
    <w:rsid w:val="001412CF"/>
    <w:rsid w:val="00141C92"/>
    <w:rsid w:val="001513D6"/>
    <w:rsid w:val="00153323"/>
    <w:rsid w:val="00153ED3"/>
    <w:rsid w:val="001713D5"/>
    <w:rsid w:val="00172CBA"/>
    <w:rsid w:val="00183A0F"/>
    <w:rsid w:val="00191040"/>
    <w:rsid w:val="00193DDD"/>
    <w:rsid w:val="00195A68"/>
    <w:rsid w:val="001B60F5"/>
    <w:rsid w:val="001D5A12"/>
    <w:rsid w:val="001D5DB8"/>
    <w:rsid w:val="001D5E96"/>
    <w:rsid w:val="001D6ABC"/>
    <w:rsid w:val="001E27B5"/>
    <w:rsid w:val="001E38BD"/>
    <w:rsid w:val="001F0F15"/>
    <w:rsid w:val="001F37D4"/>
    <w:rsid w:val="002006D3"/>
    <w:rsid w:val="002051B9"/>
    <w:rsid w:val="00211940"/>
    <w:rsid w:val="00212518"/>
    <w:rsid w:val="0021312C"/>
    <w:rsid w:val="00213582"/>
    <w:rsid w:val="00216ED2"/>
    <w:rsid w:val="00220C95"/>
    <w:rsid w:val="00224BE5"/>
    <w:rsid w:val="002316E6"/>
    <w:rsid w:val="00236F53"/>
    <w:rsid w:val="002405FF"/>
    <w:rsid w:val="002418CB"/>
    <w:rsid w:val="00261F55"/>
    <w:rsid w:val="00270A96"/>
    <w:rsid w:val="00282D58"/>
    <w:rsid w:val="00293CD3"/>
    <w:rsid w:val="002975A2"/>
    <w:rsid w:val="002A227F"/>
    <w:rsid w:val="002A24BA"/>
    <w:rsid w:val="002A31A1"/>
    <w:rsid w:val="002B6F46"/>
    <w:rsid w:val="002C09A2"/>
    <w:rsid w:val="002C65CE"/>
    <w:rsid w:val="002D289A"/>
    <w:rsid w:val="002D7B8A"/>
    <w:rsid w:val="002E5180"/>
    <w:rsid w:val="002F55C8"/>
    <w:rsid w:val="00300A7B"/>
    <w:rsid w:val="003054C6"/>
    <w:rsid w:val="003059E0"/>
    <w:rsid w:val="003079CC"/>
    <w:rsid w:val="003275CB"/>
    <w:rsid w:val="003409E5"/>
    <w:rsid w:val="003528EF"/>
    <w:rsid w:val="00355F3A"/>
    <w:rsid w:val="00356184"/>
    <w:rsid w:val="003616A8"/>
    <w:rsid w:val="003633F9"/>
    <w:rsid w:val="00367024"/>
    <w:rsid w:val="00374B88"/>
    <w:rsid w:val="00375C15"/>
    <w:rsid w:val="00376230"/>
    <w:rsid w:val="003779D9"/>
    <w:rsid w:val="00382316"/>
    <w:rsid w:val="00387892"/>
    <w:rsid w:val="00387DC6"/>
    <w:rsid w:val="00397472"/>
    <w:rsid w:val="003A37C8"/>
    <w:rsid w:val="003A5188"/>
    <w:rsid w:val="003A5317"/>
    <w:rsid w:val="003B0E62"/>
    <w:rsid w:val="003C25AC"/>
    <w:rsid w:val="003C594A"/>
    <w:rsid w:val="003D2DDC"/>
    <w:rsid w:val="003D36D3"/>
    <w:rsid w:val="003E027C"/>
    <w:rsid w:val="003E7E8E"/>
    <w:rsid w:val="003F3890"/>
    <w:rsid w:val="00413EBA"/>
    <w:rsid w:val="00414241"/>
    <w:rsid w:val="00416AB8"/>
    <w:rsid w:val="00424615"/>
    <w:rsid w:val="004247A6"/>
    <w:rsid w:val="00424EF4"/>
    <w:rsid w:val="00427385"/>
    <w:rsid w:val="00430011"/>
    <w:rsid w:val="004429C5"/>
    <w:rsid w:val="004542C5"/>
    <w:rsid w:val="00457399"/>
    <w:rsid w:val="0046198C"/>
    <w:rsid w:val="00464D91"/>
    <w:rsid w:val="00465BB2"/>
    <w:rsid w:val="00475DDC"/>
    <w:rsid w:val="00477BE5"/>
    <w:rsid w:val="00481475"/>
    <w:rsid w:val="0048564A"/>
    <w:rsid w:val="004C5EF0"/>
    <w:rsid w:val="004D02C2"/>
    <w:rsid w:val="004D35FD"/>
    <w:rsid w:val="004D473A"/>
    <w:rsid w:val="004D5708"/>
    <w:rsid w:val="004E3989"/>
    <w:rsid w:val="004F42E2"/>
    <w:rsid w:val="004F497D"/>
    <w:rsid w:val="004F6984"/>
    <w:rsid w:val="00504F96"/>
    <w:rsid w:val="005206E4"/>
    <w:rsid w:val="005311B9"/>
    <w:rsid w:val="00542F6A"/>
    <w:rsid w:val="00545961"/>
    <w:rsid w:val="0055151D"/>
    <w:rsid w:val="005524F5"/>
    <w:rsid w:val="00553558"/>
    <w:rsid w:val="00554F90"/>
    <w:rsid w:val="00555A76"/>
    <w:rsid w:val="00560EC3"/>
    <w:rsid w:val="00563758"/>
    <w:rsid w:val="005644F4"/>
    <w:rsid w:val="0056492C"/>
    <w:rsid w:val="0056644C"/>
    <w:rsid w:val="00577424"/>
    <w:rsid w:val="0058775D"/>
    <w:rsid w:val="00587B74"/>
    <w:rsid w:val="00592F1C"/>
    <w:rsid w:val="005A4041"/>
    <w:rsid w:val="005A4DEF"/>
    <w:rsid w:val="005B6B26"/>
    <w:rsid w:val="005C3E13"/>
    <w:rsid w:val="005D2B01"/>
    <w:rsid w:val="005E31D5"/>
    <w:rsid w:val="005E3FA6"/>
    <w:rsid w:val="005F6A32"/>
    <w:rsid w:val="005F7BBC"/>
    <w:rsid w:val="00605A7A"/>
    <w:rsid w:val="0061381D"/>
    <w:rsid w:val="00613C41"/>
    <w:rsid w:val="00616582"/>
    <w:rsid w:val="006175E3"/>
    <w:rsid w:val="00631E9C"/>
    <w:rsid w:val="006325E7"/>
    <w:rsid w:val="00635996"/>
    <w:rsid w:val="00642F18"/>
    <w:rsid w:val="00646B3D"/>
    <w:rsid w:val="006476A5"/>
    <w:rsid w:val="006638D5"/>
    <w:rsid w:val="0066615E"/>
    <w:rsid w:val="00667677"/>
    <w:rsid w:val="00672B6A"/>
    <w:rsid w:val="00681252"/>
    <w:rsid w:val="00682D92"/>
    <w:rsid w:val="00684BF4"/>
    <w:rsid w:val="0068630F"/>
    <w:rsid w:val="00695F4D"/>
    <w:rsid w:val="006B3F57"/>
    <w:rsid w:val="006C0E57"/>
    <w:rsid w:val="006C4958"/>
    <w:rsid w:val="006C56D8"/>
    <w:rsid w:val="006C5D2A"/>
    <w:rsid w:val="006C5D5A"/>
    <w:rsid w:val="006D74AB"/>
    <w:rsid w:val="006D74BA"/>
    <w:rsid w:val="006E46DD"/>
    <w:rsid w:val="006E670E"/>
    <w:rsid w:val="006F3554"/>
    <w:rsid w:val="007037E7"/>
    <w:rsid w:val="0071345B"/>
    <w:rsid w:val="00731703"/>
    <w:rsid w:val="00732D00"/>
    <w:rsid w:val="00740563"/>
    <w:rsid w:val="00740DF5"/>
    <w:rsid w:val="00746F08"/>
    <w:rsid w:val="007502EF"/>
    <w:rsid w:val="0075137A"/>
    <w:rsid w:val="00764149"/>
    <w:rsid w:val="00765569"/>
    <w:rsid w:val="00765A46"/>
    <w:rsid w:val="00766BAC"/>
    <w:rsid w:val="00767494"/>
    <w:rsid w:val="00774AC6"/>
    <w:rsid w:val="00775720"/>
    <w:rsid w:val="0079728E"/>
    <w:rsid w:val="007A0F86"/>
    <w:rsid w:val="007A5673"/>
    <w:rsid w:val="007B1C0E"/>
    <w:rsid w:val="007B44A0"/>
    <w:rsid w:val="007B497C"/>
    <w:rsid w:val="007B5DCA"/>
    <w:rsid w:val="007B7CF8"/>
    <w:rsid w:val="007C1968"/>
    <w:rsid w:val="007C1B30"/>
    <w:rsid w:val="007C2A95"/>
    <w:rsid w:val="007C5722"/>
    <w:rsid w:val="007D348D"/>
    <w:rsid w:val="007E5273"/>
    <w:rsid w:val="007E6F87"/>
    <w:rsid w:val="00802254"/>
    <w:rsid w:val="00802AE0"/>
    <w:rsid w:val="00802B96"/>
    <w:rsid w:val="0080326D"/>
    <w:rsid w:val="00811157"/>
    <w:rsid w:val="00815208"/>
    <w:rsid w:val="00816398"/>
    <w:rsid w:val="008205E0"/>
    <w:rsid w:val="0082732D"/>
    <w:rsid w:val="0083143E"/>
    <w:rsid w:val="008316B2"/>
    <w:rsid w:val="00832467"/>
    <w:rsid w:val="00835D15"/>
    <w:rsid w:val="008362B0"/>
    <w:rsid w:val="00843E21"/>
    <w:rsid w:val="00851AC6"/>
    <w:rsid w:val="00852848"/>
    <w:rsid w:val="00863DDE"/>
    <w:rsid w:val="0087684D"/>
    <w:rsid w:val="008815AA"/>
    <w:rsid w:val="008815DD"/>
    <w:rsid w:val="008A713E"/>
    <w:rsid w:val="008B3B73"/>
    <w:rsid w:val="008B4E49"/>
    <w:rsid w:val="008B7D28"/>
    <w:rsid w:val="008C25D1"/>
    <w:rsid w:val="008C6B44"/>
    <w:rsid w:val="008C6D34"/>
    <w:rsid w:val="008E7137"/>
    <w:rsid w:val="008F16BE"/>
    <w:rsid w:val="008F1B10"/>
    <w:rsid w:val="009100A4"/>
    <w:rsid w:val="009114B4"/>
    <w:rsid w:val="0091307C"/>
    <w:rsid w:val="009167D8"/>
    <w:rsid w:val="00925BA1"/>
    <w:rsid w:val="00941E4C"/>
    <w:rsid w:val="009456EA"/>
    <w:rsid w:val="00946377"/>
    <w:rsid w:val="00946A3B"/>
    <w:rsid w:val="00956FC3"/>
    <w:rsid w:val="00960FC5"/>
    <w:rsid w:val="009655E3"/>
    <w:rsid w:val="009723D9"/>
    <w:rsid w:val="009731A2"/>
    <w:rsid w:val="009749AD"/>
    <w:rsid w:val="009756D4"/>
    <w:rsid w:val="009759BA"/>
    <w:rsid w:val="00985D91"/>
    <w:rsid w:val="009C207B"/>
    <w:rsid w:val="009D5E37"/>
    <w:rsid w:val="009E1C09"/>
    <w:rsid w:val="009E230B"/>
    <w:rsid w:val="009E2726"/>
    <w:rsid w:val="009E4786"/>
    <w:rsid w:val="009F4008"/>
    <w:rsid w:val="00A04A80"/>
    <w:rsid w:val="00A155AF"/>
    <w:rsid w:val="00A2398F"/>
    <w:rsid w:val="00A301D3"/>
    <w:rsid w:val="00A32AFA"/>
    <w:rsid w:val="00A506A3"/>
    <w:rsid w:val="00A50887"/>
    <w:rsid w:val="00A517C2"/>
    <w:rsid w:val="00A52788"/>
    <w:rsid w:val="00A52C20"/>
    <w:rsid w:val="00A52FB0"/>
    <w:rsid w:val="00A679F5"/>
    <w:rsid w:val="00A95E0D"/>
    <w:rsid w:val="00AA503F"/>
    <w:rsid w:val="00AA7DB4"/>
    <w:rsid w:val="00AB57CA"/>
    <w:rsid w:val="00AC1BC0"/>
    <w:rsid w:val="00AE3FAA"/>
    <w:rsid w:val="00AE5E0D"/>
    <w:rsid w:val="00AE6754"/>
    <w:rsid w:val="00AF098F"/>
    <w:rsid w:val="00AF25AA"/>
    <w:rsid w:val="00AF49BE"/>
    <w:rsid w:val="00AF6ED0"/>
    <w:rsid w:val="00B00AFF"/>
    <w:rsid w:val="00B02E84"/>
    <w:rsid w:val="00B11B23"/>
    <w:rsid w:val="00B21F31"/>
    <w:rsid w:val="00B226FE"/>
    <w:rsid w:val="00B2616E"/>
    <w:rsid w:val="00B34A43"/>
    <w:rsid w:val="00B37187"/>
    <w:rsid w:val="00B41928"/>
    <w:rsid w:val="00B43FF7"/>
    <w:rsid w:val="00B468A2"/>
    <w:rsid w:val="00B51D66"/>
    <w:rsid w:val="00B548D9"/>
    <w:rsid w:val="00B6284C"/>
    <w:rsid w:val="00B65A74"/>
    <w:rsid w:val="00B67742"/>
    <w:rsid w:val="00B7513F"/>
    <w:rsid w:val="00B92630"/>
    <w:rsid w:val="00BA553B"/>
    <w:rsid w:val="00BB2A4A"/>
    <w:rsid w:val="00BB5171"/>
    <w:rsid w:val="00BC63D7"/>
    <w:rsid w:val="00BD71E9"/>
    <w:rsid w:val="00BE596C"/>
    <w:rsid w:val="00BF203E"/>
    <w:rsid w:val="00BF2615"/>
    <w:rsid w:val="00BF61F1"/>
    <w:rsid w:val="00BF7B7B"/>
    <w:rsid w:val="00C04A21"/>
    <w:rsid w:val="00C11918"/>
    <w:rsid w:val="00C12F9F"/>
    <w:rsid w:val="00C42EEB"/>
    <w:rsid w:val="00C5385F"/>
    <w:rsid w:val="00C57BE4"/>
    <w:rsid w:val="00C61A75"/>
    <w:rsid w:val="00C67319"/>
    <w:rsid w:val="00C74564"/>
    <w:rsid w:val="00CB624B"/>
    <w:rsid w:val="00CB6440"/>
    <w:rsid w:val="00CB6AD5"/>
    <w:rsid w:val="00CC25EA"/>
    <w:rsid w:val="00CC7C36"/>
    <w:rsid w:val="00CD5156"/>
    <w:rsid w:val="00CE5E35"/>
    <w:rsid w:val="00CE7FB9"/>
    <w:rsid w:val="00CF69BF"/>
    <w:rsid w:val="00D00BE7"/>
    <w:rsid w:val="00D04061"/>
    <w:rsid w:val="00D07169"/>
    <w:rsid w:val="00D11AF0"/>
    <w:rsid w:val="00D16ADE"/>
    <w:rsid w:val="00D36849"/>
    <w:rsid w:val="00D37A88"/>
    <w:rsid w:val="00D42B0E"/>
    <w:rsid w:val="00D5654C"/>
    <w:rsid w:val="00D62417"/>
    <w:rsid w:val="00D74546"/>
    <w:rsid w:val="00D93D5A"/>
    <w:rsid w:val="00DB2B22"/>
    <w:rsid w:val="00DC0BA9"/>
    <w:rsid w:val="00DC0E2B"/>
    <w:rsid w:val="00DC7425"/>
    <w:rsid w:val="00DD6FCA"/>
    <w:rsid w:val="00DE3E62"/>
    <w:rsid w:val="00DE49D1"/>
    <w:rsid w:val="00DE5B05"/>
    <w:rsid w:val="00DF4473"/>
    <w:rsid w:val="00E24B56"/>
    <w:rsid w:val="00E35033"/>
    <w:rsid w:val="00E40243"/>
    <w:rsid w:val="00E56841"/>
    <w:rsid w:val="00E574B1"/>
    <w:rsid w:val="00E61445"/>
    <w:rsid w:val="00E67EF0"/>
    <w:rsid w:val="00E76771"/>
    <w:rsid w:val="00E839E3"/>
    <w:rsid w:val="00E84B80"/>
    <w:rsid w:val="00E93F85"/>
    <w:rsid w:val="00E940F1"/>
    <w:rsid w:val="00EA5A9F"/>
    <w:rsid w:val="00EA6D7E"/>
    <w:rsid w:val="00EA7FAD"/>
    <w:rsid w:val="00EB27BF"/>
    <w:rsid w:val="00EC1736"/>
    <w:rsid w:val="00EC59D3"/>
    <w:rsid w:val="00ED1762"/>
    <w:rsid w:val="00ED2A61"/>
    <w:rsid w:val="00ED7DAD"/>
    <w:rsid w:val="00EE259C"/>
    <w:rsid w:val="00F00F34"/>
    <w:rsid w:val="00F219F6"/>
    <w:rsid w:val="00F275E3"/>
    <w:rsid w:val="00F417DC"/>
    <w:rsid w:val="00F55996"/>
    <w:rsid w:val="00F60F8D"/>
    <w:rsid w:val="00F83A7D"/>
    <w:rsid w:val="00F863E5"/>
    <w:rsid w:val="00F91F70"/>
    <w:rsid w:val="00F95BFB"/>
    <w:rsid w:val="00FA203C"/>
    <w:rsid w:val="00FA5DD5"/>
    <w:rsid w:val="00FB0C98"/>
    <w:rsid w:val="00FB4D7F"/>
    <w:rsid w:val="00FB6667"/>
    <w:rsid w:val="00FB74D8"/>
    <w:rsid w:val="00FC3F31"/>
    <w:rsid w:val="00FC4DC4"/>
    <w:rsid w:val="00FD0719"/>
    <w:rsid w:val="00FD7675"/>
    <w:rsid w:val="00FD7BBD"/>
    <w:rsid w:val="00FF05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79C3D"/>
  <w15:chartTrackingRefBased/>
  <w15:docId w15:val="{24DAF010-B10E-974F-BF21-DE2D4AE9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aliases w:val="MOB Bodytekst"/>
    <w:qFormat/>
    <w:rsid w:val="004D473A"/>
    <w:pPr>
      <w:spacing w:line="276" w:lineRule="auto"/>
    </w:pPr>
    <w:rPr>
      <w:rFonts w:ascii="Calibri" w:eastAsia="Times New Roman" w:hAnsi="Calibri" w:cs="Times New Roman"/>
      <w:color w:val="000000" w:themeColor="text1"/>
      <w:sz w:val="20"/>
      <w:szCs w:val="16"/>
      <w:lang w:eastAsia="nl-NL"/>
    </w:rPr>
  </w:style>
  <w:style w:type="paragraph" w:styleId="Kop1">
    <w:name w:val="heading 1"/>
    <w:basedOn w:val="Standaard"/>
    <w:next w:val="Standaard"/>
    <w:link w:val="Kop1Char"/>
    <w:uiPriority w:val="9"/>
    <w:qFormat/>
    <w:rsid w:val="009E1C09"/>
    <w:pPr>
      <w:keepNext/>
      <w:keepLines/>
      <w:spacing w:before="240"/>
      <w:outlineLvl w:val="0"/>
    </w:pPr>
    <w:rPr>
      <w:rFonts w:eastAsiaTheme="majorEastAsia" w:cstheme="majorBidi"/>
      <w:color w:val="7F7F7F" w:themeColor="text1" w:themeTint="80"/>
      <w:sz w:val="32"/>
      <w:szCs w:val="32"/>
    </w:rPr>
  </w:style>
  <w:style w:type="paragraph" w:styleId="Kop2">
    <w:name w:val="heading 2"/>
    <w:basedOn w:val="Standaard"/>
    <w:next w:val="Standaard"/>
    <w:link w:val="Kop2Char"/>
    <w:uiPriority w:val="9"/>
    <w:semiHidden/>
    <w:unhideWhenUsed/>
    <w:qFormat/>
    <w:rsid w:val="00B21F3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B21F3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aliases w:val="kopje"/>
    <w:basedOn w:val="MOBParagraafsubkop"/>
    <w:next w:val="Standaard"/>
    <w:link w:val="Kop4Char"/>
    <w:autoRedefine/>
    <w:qFormat/>
    <w:rsid w:val="00FB6667"/>
    <w:pPr>
      <w:numPr>
        <w:ilvl w:val="3"/>
        <w:numId w:val="2"/>
      </w:numPr>
      <w:outlineLvl w:val="3"/>
    </w:pPr>
    <w:rPr>
      <w:lang w:val="nl-NL"/>
    </w:rPr>
  </w:style>
  <w:style w:type="paragraph" w:styleId="Kop5">
    <w:name w:val="heading 5"/>
    <w:basedOn w:val="Standaard"/>
    <w:next w:val="Standaard"/>
    <w:link w:val="Kop5Char"/>
    <w:uiPriority w:val="9"/>
    <w:semiHidden/>
    <w:unhideWhenUsed/>
    <w:qFormat/>
    <w:rsid w:val="003A5317"/>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3A5317"/>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3A5317"/>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3A5317"/>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A5317"/>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45961"/>
    <w:pPr>
      <w:tabs>
        <w:tab w:val="center" w:pos="4536"/>
        <w:tab w:val="right" w:pos="9072"/>
      </w:tabs>
      <w:spacing w:before="120" w:after="120" w:line="240" w:lineRule="auto"/>
    </w:pPr>
    <w:rPr>
      <w:rFonts w:eastAsiaTheme="minorHAnsi" w:cstheme="minorBidi"/>
      <w:sz w:val="24"/>
      <w:szCs w:val="24"/>
      <w:lang w:eastAsia="en-US"/>
    </w:rPr>
  </w:style>
  <w:style w:type="character" w:customStyle="1" w:styleId="KoptekstChar">
    <w:name w:val="Koptekst Char"/>
    <w:basedOn w:val="Standaardalinea-lettertype"/>
    <w:link w:val="Koptekst"/>
    <w:uiPriority w:val="99"/>
    <w:rsid w:val="00545961"/>
  </w:style>
  <w:style w:type="paragraph" w:styleId="Voettekst">
    <w:name w:val="footer"/>
    <w:basedOn w:val="Standaard"/>
    <w:link w:val="VoettekstChar"/>
    <w:uiPriority w:val="99"/>
    <w:unhideWhenUsed/>
    <w:rsid w:val="004D473A"/>
    <w:pPr>
      <w:tabs>
        <w:tab w:val="center" w:pos="4536"/>
        <w:tab w:val="right" w:pos="9072"/>
      </w:tabs>
      <w:spacing w:line="240" w:lineRule="auto"/>
      <w:jc w:val="right"/>
    </w:pPr>
    <w:rPr>
      <w:rFonts w:eastAsiaTheme="minorHAnsi" w:cstheme="minorBidi"/>
      <w:color w:val="1CAAD6"/>
      <w:sz w:val="16"/>
      <w:szCs w:val="24"/>
      <w:lang w:eastAsia="en-US"/>
    </w:rPr>
  </w:style>
  <w:style w:type="character" w:customStyle="1" w:styleId="VoettekstChar">
    <w:name w:val="Voettekst Char"/>
    <w:basedOn w:val="Standaardalinea-lettertype"/>
    <w:link w:val="Voettekst"/>
    <w:uiPriority w:val="99"/>
    <w:rsid w:val="004D473A"/>
    <w:rPr>
      <w:rFonts w:ascii="Calibri" w:hAnsi="Calibri"/>
      <w:color w:val="1CAAD6"/>
      <w:sz w:val="16"/>
    </w:rPr>
  </w:style>
  <w:style w:type="character" w:customStyle="1" w:styleId="Kop4Char">
    <w:name w:val="Kop 4 Char"/>
    <w:aliases w:val="kopje Char"/>
    <w:basedOn w:val="Standaardalinea-lettertype"/>
    <w:link w:val="Kop4"/>
    <w:rsid w:val="00FB6667"/>
    <w:rPr>
      <w:rFonts w:ascii="Calibri" w:eastAsia="Times New Roman" w:hAnsi="Calibri" w:cs="Arial"/>
      <w:b/>
      <w:color w:val="000000" w:themeColor="text1"/>
      <w:sz w:val="20"/>
      <w:szCs w:val="22"/>
      <w:lang w:eastAsia="nl-NL"/>
    </w:rPr>
  </w:style>
  <w:style w:type="paragraph" w:styleId="Inhopg2">
    <w:name w:val="toc 2"/>
    <w:next w:val="Standaard"/>
    <w:autoRedefine/>
    <w:uiPriority w:val="39"/>
    <w:unhideWhenUsed/>
    <w:rsid w:val="00A679F5"/>
    <w:pPr>
      <w:tabs>
        <w:tab w:val="left" w:pos="284"/>
        <w:tab w:val="left" w:pos="600"/>
        <w:tab w:val="right" w:pos="9056"/>
      </w:tabs>
      <w:spacing w:before="120" w:after="120"/>
    </w:pPr>
    <w:rPr>
      <w:rFonts w:ascii="Calibri" w:eastAsia="Times New Roman" w:hAnsi="Calibri" w:cs="Arial"/>
      <w:color w:val="87AF3D"/>
      <w:szCs w:val="26"/>
      <w:shd w:val="clear" w:color="auto" w:fill="FFFFFF"/>
      <w:lang w:eastAsia="nl-NL"/>
    </w:rPr>
  </w:style>
  <w:style w:type="paragraph" w:styleId="Inhopg1">
    <w:name w:val="toc 1"/>
    <w:next w:val="Standaard"/>
    <w:autoRedefine/>
    <w:uiPriority w:val="39"/>
    <w:unhideWhenUsed/>
    <w:rsid w:val="00115E9A"/>
    <w:pPr>
      <w:tabs>
        <w:tab w:val="left" w:pos="600"/>
        <w:tab w:val="right" w:pos="9056"/>
      </w:tabs>
      <w:spacing w:before="240" w:after="240"/>
    </w:pPr>
    <w:rPr>
      <w:rFonts w:ascii="Calibri" w:eastAsia="Times New Roman" w:hAnsi="Calibri" w:cs="Arial"/>
      <w:b/>
      <w:caps/>
      <w:color w:val="87AF3F"/>
      <w:shd w:val="clear" w:color="auto" w:fill="FFFFFF"/>
      <w:lang w:eastAsia="nl-NL"/>
    </w:rPr>
  </w:style>
  <w:style w:type="paragraph" w:styleId="Inhopg3">
    <w:name w:val="toc 3"/>
    <w:next w:val="Standaard"/>
    <w:autoRedefine/>
    <w:uiPriority w:val="39"/>
    <w:unhideWhenUsed/>
    <w:rsid w:val="00A52C20"/>
    <w:pPr>
      <w:tabs>
        <w:tab w:val="left" w:pos="1000"/>
        <w:tab w:val="right" w:pos="9056"/>
      </w:tabs>
      <w:spacing w:before="60" w:after="60" w:line="360" w:lineRule="auto"/>
      <w:ind w:firstLine="284"/>
    </w:pPr>
    <w:rPr>
      <w:rFonts w:ascii="Calibri" w:eastAsia="Times New Roman" w:hAnsi="Calibri" w:cs="Arial"/>
      <w:color w:val="595959" w:themeColor="text1" w:themeTint="A6"/>
      <w:sz w:val="20"/>
      <w:szCs w:val="20"/>
      <w:shd w:val="clear" w:color="auto" w:fill="FFFFFF"/>
      <w:lang w:eastAsia="nl-NL"/>
    </w:rPr>
  </w:style>
  <w:style w:type="paragraph" w:customStyle="1" w:styleId="Rapport">
    <w:name w:val="Rapport"/>
    <w:basedOn w:val="Kop4"/>
    <w:qFormat/>
    <w:rsid w:val="006E46DD"/>
    <w:rPr>
      <w:sz w:val="22"/>
    </w:rPr>
  </w:style>
  <w:style w:type="table" w:styleId="Tabelraster">
    <w:name w:val="Table Grid"/>
    <w:basedOn w:val="Standaardtabel"/>
    <w:uiPriority w:val="39"/>
    <w:rsid w:val="006E4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6E46D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3-Accent1">
    <w:name w:val="Grid Table 3 Accent 1"/>
    <w:basedOn w:val="Standaardtabel"/>
    <w:uiPriority w:val="48"/>
    <w:rsid w:val="00224BE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2-Accent6">
    <w:name w:val="Grid Table 2 Accent 6"/>
    <w:basedOn w:val="Standaardtabel"/>
    <w:uiPriority w:val="47"/>
    <w:rsid w:val="00224BE5"/>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MOBHoofdstuk">
    <w:name w:val="MOB Hoofdstuk"/>
    <w:next w:val="Standaard"/>
    <w:autoRedefine/>
    <w:qFormat/>
    <w:rsid w:val="000B2450"/>
    <w:pPr>
      <w:pageBreakBefore/>
      <w:numPr>
        <w:numId w:val="4"/>
      </w:numPr>
      <w:spacing w:before="480" w:after="480"/>
      <w:outlineLvl w:val="0"/>
    </w:pPr>
    <w:rPr>
      <w:rFonts w:ascii="Calibri" w:eastAsia="Times New Roman" w:hAnsi="Calibri" w:cs="Arial"/>
      <w:b/>
      <w:caps/>
      <w:color w:val="87AF3F"/>
      <w:sz w:val="28"/>
      <w:lang w:eastAsia="nl-NL"/>
    </w:rPr>
  </w:style>
  <w:style w:type="paragraph" w:styleId="Lijstalinea">
    <w:name w:val="List Paragraph"/>
    <w:basedOn w:val="Standaard"/>
    <w:uiPriority w:val="34"/>
    <w:qFormat/>
    <w:rsid w:val="00E574B1"/>
    <w:pPr>
      <w:ind w:left="720"/>
      <w:contextualSpacing/>
    </w:pPr>
  </w:style>
  <w:style w:type="paragraph" w:customStyle="1" w:styleId="MOBParagraafsubkop">
    <w:name w:val="MOB Paragraaf subkop"/>
    <w:next w:val="Standaard"/>
    <w:autoRedefine/>
    <w:qFormat/>
    <w:rsid w:val="00053540"/>
    <w:rPr>
      <w:rFonts w:ascii="Calibri" w:eastAsia="Times New Roman" w:hAnsi="Calibri" w:cs="Arial"/>
      <w:b/>
      <w:color w:val="000000" w:themeColor="text1"/>
      <w:sz w:val="20"/>
      <w:szCs w:val="22"/>
      <w:shd w:val="clear" w:color="auto" w:fill="FFFFFF"/>
      <w:lang w:val="en-US" w:eastAsia="nl-NL"/>
    </w:rPr>
  </w:style>
  <w:style w:type="paragraph" w:customStyle="1" w:styleId="MOBColofonCopyright">
    <w:name w:val="MOB Colofon / Copyright"/>
    <w:basedOn w:val="Standaard"/>
    <w:autoRedefine/>
    <w:qFormat/>
    <w:rsid w:val="00B548D9"/>
    <w:rPr>
      <w:i/>
      <w:color w:val="13A4C2"/>
      <w:sz w:val="16"/>
    </w:rPr>
  </w:style>
  <w:style w:type="character" w:customStyle="1" w:styleId="Kop2Char">
    <w:name w:val="Kop 2 Char"/>
    <w:basedOn w:val="Standaardalinea-lettertype"/>
    <w:link w:val="Kop2"/>
    <w:uiPriority w:val="9"/>
    <w:semiHidden/>
    <w:rsid w:val="00B21F31"/>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semiHidden/>
    <w:rsid w:val="00B21F31"/>
    <w:rPr>
      <w:rFonts w:asciiTheme="majorHAnsi" w:eastAsiaTheme="majorEastAsia" w:hAnsiTheme="majorHAnsi" w:cstheme="majorBidi"/>
      <w:color w:val="1F4D78" w:themeColor="accent1" w:themeShade="7F"/>
      <w:lang w:eastAsia="nl-NL"/>
    </w:rPr>
  </w:style>
  <w:style w:type="character" w:customStyle="1" w:styleId="Kop5Char">
    <w:name w:val="Kop 5 Char"/>
    <w:basedOn w:val="Standaardalinea-lettertype"/>
    <w:link w:val="Kop5"/>
    <w:uiPriority w:val="9"/>
    <w:semiHidden/>
    <w:rsid w:val="00B21F31"/>
    <w:rPr>
      <w:rFonts w:asciiTheme="majorHAnsi" w:eastAsiaTheme="majorEastAsia" w:hAnsiTheme="majorHAnsi" w:cstheme="majorBidi"/>
      <w:color w:val="2E74B5" w:themeColor="accent1" w:themeShade="BF"/>
      <w:sz w:val="20"/>
      <w:szCs w:val="16"/>
      <w:lang w:eastAsia="nl-NL"/>
    </w:rPr>
  </w:style>
  <w:style w:type="character" w:customStyle="1" w:styleId="Kop6Char">
    <w:name w:val="Kop 6 Char"/>
    <w:basedOn w:val="Standaardalinea-lettertype"/>
    <w:link w:val="Kop6"/>
    <w:uiPriority w:val="9"/>
    <w:semiHidden/>
    <w:rsid w:val="00B21F31"/>
    <w:rPr>
      <w:rFonts w:asciiTheme="majorHAnsi" w:eastAsiaTheme="majorEastAsia" w:hAnsiTheme="majorHAnsi" w:cstheme="majorBidi"/>
      <w:color w:val="1F4D78" w:themeColor="accent1" w:themeShade="7F"/>
      <w:sz w:val="20"/>
      <w:szCs w:val="16"/>
      <w:lang w:eastAsia="nl-NL"/>
    </w:rPr>
  </w:style>
  <w:style w:type="character" w:customStyle="1" w:styleId="Kop7Char">
    <w:name w:val="Kop 7 Char"/>
    <w:basedOn w:val="Standaardalinea-lettertype"/>
    <w:link w:val="Kop7"/>
    <w:uiPriority w:val="9"/>
    <w:semiHidden/>
    <w:rsid w:val="00B21F31"/>
    <w:rPr>
      <w:rFonts w:asciiTheme="majorHAnsi" w:eastAsiaTheme="majorEastAsia" w:hAnsiTheme="majorHAnsi" w:cstheme="majorBidi"/>
      <w:i/>
      <w:iCs/>
      <w:color w:val="1F4D78" w:themeColor="accent1" w:themeShade="7F"/>
      <w:sz w:val="20"/>
      <w:szCs w:val="16"/>
      <w:lang w:eastAsia="nl-NL"/>
    </w:rPr>
  </w:style>
  <w:style w:type="character" w:customStyle="1" w:styleId="Kop8Char">
    <w:name w:val="Kop 8 Char"/>
    <w:basedOn w:val="Standaardalinea-lettertype"/>
    <w:link w:val="Kop8"/>
    <w:uiPriority w:val="9"/>
    <w:semiHidden/>
    <w:rsid w:val="00B21F31"/>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B21F31"/>
    <w:rPr>
      <w:rFonts w:asciiTheme="majorHAnsi" w:eastAsiaTheme="majorEastAsia" w:hAnsiTheme="majorHAnsi" w:cstheme="majorBidi"/>
      <w:i/>
      <w:iCs/>
      <w:color w:val="272727" w:themeColor="text1" w:themeTint="D8"/>
      <w:sz w:val="21"/>
      <w:szCs w:val="21"/>
      <w:lang w:eastAsia="nl-NL"/>
    </w:rPr>
  </w:style>
  <w:style w:type="paragraph" w:customStyle="1" w:styleId="MOBOpsomming">
    <w:name w:val="MOB Opsomming"/>
    <w:basedOn w:val="Lijstalinea"/>
    <w:qFormat/>
    <w:rsid w:val="0083143E"/>
    <w:pPr>
      <w:numPr>
        <w:numId w:val="3"/>
      </w:numPr>
    </w:pPr>
  </w:style>
  <w:style w:type="paragraph" w:customStyle="1" w:styleId="MOBOpsommingCijfers">
    <w:name w:val="MOB Opsomming Cijfers"/>
    <w:basedOn w:val="Lijstalinea"/>
    <w:qFormat/>
    <w:rsid w:val="0083143E"/>
    <w:pPr>
      <w:numPr>
        <w:numId w:val="1"/>
      </w:numPr>
    </w:pPr>
  </w:style>
  <w:style w:type="paragraph" w:customStyle="1" w:styleId="MOBParagraaf">
    <w:name w:val="MOB Paragraaf"/>
    <w:next w:val="Standaard"/>
    <w:autoRedefine/>
    <w:qFormat/>
    <w:rsid w:val="000B2450"/>
    <w:pPr>
      <w:numPr>
        <w:ilvl w:val="1"/>
        <w:numId w:val="4"/>
      </w:numPr>
      <w:spacing w:before="240" w:after="240"/>
      <w:outlineLvl w:val="1"/>
    </w:pPr>
    <w:rPr>
      <w:rFonts w:ascii="Calibri" w:eastAsia="Times New Roman" w:hAnsi="Calibri" w:cs="Arial"/>
      <w:b/>
      <w:color w:val="87AF3E"/>
      <w:sz w:val="26"/>
      <w:szCs w:val="26"/>
      <w:lang w:eastAsia="nl-NL"/>
    </w:rPr>
  </w:style>
  <w:style w:type="paragraph" w:customStyle="1" w:styleId="MOBSubparagraaf">
    <w:name w:val="MOB Subparagraaf"/>
    <w:next w:val="Standaard"/>
    <w:autoRedefine/>
    <w:qFormat/>
    <w:rsid w:val="00DB2B22"/>
    <w:pPr>
      <w:numPr>
        <w:ilvl w:val="2"/>
        <w:numId w:val="4"/>
      </w:numPr>
      <w:spacing w:before="240" w:after="240"/>
      <w:outlineLvl w:val="2"/>
    </w:pPr>
    <w:rPr>
      <w:rFonts w:ascii="Calibri" w:eastAsia="Times New Roman" w:hAnsi="Calibri" w:cs="Arial"/>
      <w:b/>
      <w:color w:val="87AF3E"/>
      <w:sz w:val="20"/>
      <w:szCs w:val="20"/>
      <w:lang w:eastAsia="nl-NL"/>
    </w:rPr>
  </w:style>
  <w:style w:type="paragraph" w:styleId="Voetnoottekst">
    <w:name w:val="footnote text"/>
    <w:basedOn w:val="Standaard"/>
    <w:link w:val="VoetnoottekstChar"/>
    <w:uiPriority w:val="99"/>
    <w:unhideWhenUsed/>
    <w:rsid w:val="006C4958"/>
    <w:pPr>
      <w:spacing w:before="240" w:after="240" w:line="240" w:lineRule="auto"/>
    </w:pPr>
    <w:rPr>
      <w:i/>
      <w:color w:val="595959" w:themeColor="text1" w:themeTint="A6"/>
      <w:sz w:val="16"/>
      <w:szCs w:val="24"/>
    </w:rPr>
  </w:style>
  <w:style w:type="character" w:customStyle="1" w:styleId="VoetnoottekstChar">
    <w:name w:val="Voetnoottekst Char"/>
    <w:basedOn w:val="Standaardalinea-lettertype"/>
    <w:link w:val="Voetnoottekst"/>
    <w:uiPriority w:val="99"/>
    <w:rsid w:val="006C4958"/>
    <w:rPr>
      <w:rFonts w:eastAsia="Times New Roman" w:cs="Times New Roman"/>
      <w:i/>
      <w:color w:val="595959" w:themeColor="text1" w:themeTint="A6"/>
      <w:sz w:val="16"/>
      <w:lang w:eastAsia="nl-NL"/>
    </w:rPr>
  </w:style>
  <w:style w:type="character" w:styleId="Voetnootmarkering">
    <w:name w:val="footnote reference"/>
    <w:basedOn w:val="VoetnoottekstChar"/>
    <w:uiPriority w:val="99"/>
    <w:unhideWhenUsed/>
    <w:rsid w:val="006C4958"/>
    <w:rPr>
      <w:rFonts w:asciiTheme="minorHAnsi" w:eastAsia="Times New Roman" w:hAnsiTheme="minorHAnsi" w:cs="Times New Roman"/>
      <w:i w:val="0"/>
      <w:color w:val="595959" w:themeColor="text1" w:themeTint="A6"/>
      <w:sz w:val="16"/>
      <w:vertAlign w:val="superscript"/>
      <w:lang w:eastAsia="nl-NL"/>
    </w:rPr>
  </w:style>
  <w:style w:type="paragraph" w:styleId="Eindnoottekst">
    <w:name w:val="endnote text"/>
    <w:basedOn w:val="Standaard"/>
    <w:link w:val="EindnoottekstChar"/>
    <w:uiPriority w:val="99"/>
    <w:unhideWhenUsed/>
    <w:rsid w:val="002A227F"/>
    <w:pPr>
      <w:spacing w:line="240" w:lineRule="auto"/>
    </w:pPr>
    <w:rPr>
      <w:sz w:val="24"/>
      <w:szCs w:val="24"/>
    </w:rPr>
  </w:style>
  <w:style w:type="character" w:customStyle="1" w:styleId="EindnoottekstChar">
    <w:name w:val="Eindnoottekst Char"/>
    <w:basedOn w:val="Standaardalinea-lettertype"/>
    <w:link w:val="Eindnoottekst"/>
    <w:uiPriority w:val="99"/>
    <w:rsid w:val="002A227F"/>
    <w:rPr>
      <w:rFonts w:ascii="Arial" w:eastAsia="Times New Roman" w:hAnsi="Arial" w:cs="Times New Roman"/>
      <w:lang w:eastAsia="nl-NL"/>
    </w:rPr>
  </w:style>
  <w:style w:type="character" w:styleId="Eindnootmarkering">
    <w:name w:val="endnote reference"/>
    <w:basedOn w:val="Standaardalinea-lettertype"/>
    <w:uiPriority w:val="99"/>
    <w:unhideWhenUsed/>
    <w:rsid w:val="002A227F"/>
    <w:rPr>
      <w:vertAlign w:val="superscript"/>
    </w:rPr>
  </w:style>
  <w:style w:type="paragraph" w:styleId="Bijschrift">
    <w:name w:val="caption"/>
    <w:basedOn w:val="Standaard"/>
    <w:next w:val="Standaard"/>
    <w:uiPriority w:val="35"/>
    <w:unhideWhenUsed/>
    <w:qFormat/>
    <w:rsid w:val="002A227F"/>
    <w:pPr>
      <w:spacing w:after="200" w:line="240" w:lineRule="auto"/>
    </w:pPr>
    <w:rPr>
      <w:i/>
      <w:iCs/>
      <w:color w:val="44546A" w:themeColor="text2"/>
      <w:sz w:val="18"/>
      <w:szCs w:val="18"/>
    </w:rPr>
  </w:style>
  <w:style w:type="paragraph" w:customStyle="1" w:styleId="MOBOnderschrift">
    <w:name w:val="MOB Onderschrift"/>
    <w:basedOn w:val="Standaard"/>
    <w:qFormat/>
    <w:rsid w:val="00631E9C"/>
    <w:pPr>
      <w:spacing w:line="360" w:lineRule="exact"/>
    </w:pPr>
    <w:rPr>
      <w:rFonts w:cs="Arial"/>
      <w:i/>
      <w:color w:val="595959" w:themeColor="text1" w:themeTint="A6"/>
      <w:sz w:val="16"/>
      <w:shd w:val="clear" w:color="auto" w:fill="FFFFFF"/>
    </w:rPr>
  </w:style>
  <w:style w:type="paragraph" w:customStyle="1" w:styleId="MOBSubparagraafzondernummering">
    <w:name w:val="MOB Subparagraaf zonder nummering"/>
    <w:next w:val="Standaard"/>
    <w:qFormat/>
    <w:rsid w:val="001F0F15"/>
    <w:pPr>
      <w:spacing w:before="240" w:after="240"/>
    </w:pPr>
    <w:rPr>
      <w:rFonts w:ascii="Calibri" w:eastAsia="Times New Roman" w:hAnsi="Calibri" w:cs="Arial"/>
      <w:b/>
      <w:color w:val="87AF3D"/>
      <w:sz w:val="20"/>
      <w:szCs w:val="20"/>
      <w:shd w:val="clear" w:color="auto" w:fill="FFFFFF"/>
      <w:lang w:eastAsia="nl-NL"/>
    </w:rPr>
  </w:style>
  <w:style w:type="table" w:customStyle="1" w:styleId="MOBTabelZakelijkGroen">
    <w:name w:val="MOB Tabel Zakelijk Groen"/>
    <w:basedOn w:val="Standaardtabel"/>
    <w:uiPriority w:val="99"/>
    <w:rsid w:val="005644F4"/>
    <w:rPr>
      <w:sz w:val="20"/>
    </w:rPr>
    <w:tblPr/>
    <w:tblStylePr w:type="firstRow">
      <w:rPr>
        <w:rFonts w:asciiTheme="minorHAnsi" w:hAnsiTheme="minorHAnsi"/>
        <w:b/>
        <w:i w:val="0"/>
        <w:color w:val="FFFFFF" w:themeColor="background1"/>
        <w:sz w:val="20"/>
      </w:rPr>
      <w:tblPr/>
      <w:tcPr>
        <w:shd w:val="clear" w:color="auto" w:fill="87AF3D"/>
      </w:tcPr>
    </w:tblStylePr>
    <w:tblStylePr w:type="lastRow">
      <w:rPr>
        <w:rFonts w:asciiTheme="minorHAnsi" w:hAnsiTheme="minorHAnsi"/>
        <w:b/>
        <w:sz w:val="20"/>
      </w:rPr>
    </w:tblStylePr>
    <w:tblStylePr w:type="lastCol">
      <w:pPr>
        <w:wordWrap/>
        <w:jc w:val="right"/>
      </w:pPr>
    </w:tblStylePr>
  </w:style>
  <w:style w:type="table" w:styleId="Rastertabel4-Accent5">
    <w:name w:val="Grid Table 4 Accent 5"/>
    <w:basedOn w:val="Standaardtabel"/>
    <w:uiPriority w:val="49"/>
    <w:rsid w:val="00CB6AD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5donker-Accent1">
    <w:name w:val="Grid Table 5 Dark Accent 1"/>
    <w:basedOn w:val="Standaardtabel"/>
    <w:uiPriority w:val="50"/>
    <w:rsid w:val="00CB6AD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Kop1Char">
    <w:name w:val="Kop 1 Char"/>
    <w:basedOn w:val="Standaardalinea-lettertype"/>
    <w:link w:val="Kop1"/>
    <w:uiPriority w:val="9"/>
    <w:rsid w:val="009E1C09"/>
    <w:rPr>
      <w:rFonts w:eastAsiaTheme="majorEastAsia" w:cstheme="majorBidi"/>
      <w:color w:val="7F7F7F" w:themeColor="text1" w:themeTint="80"/>
      <w:sz w:val="32"/>
      <w:szCs w:val="32"/>
      <w:lang w:eastAsia="nl-NL"/>
    </w:rPr>
  </w:style>
  <w:style w:type="paragraph" w:customStyle="1" w:styleId="Tabeltekst">
    <w:name w:val="Tabeltekst"/>
    <w:basedOn w:val="Standaard"/>
    <w:qFormat/>
    <w:rsid w:val="00C57BE4"/>
    <w:rPr>
      <w:sz w:val="18"/>
    </w:rPr>
  </w:style>
  <w:style w:type="table" w:customStyle="1" w:styleId="MOBBlauw">
    <w:name w:val="MOB Blauw"/>
    <w:basedOn w:val="Standaardtabel"/>
    <w:uiPriority w:val="99"/>
    <w:rsid w:val="00843E21"/>
    <w:tblPr>
      <w:tblStyleRowBandSize w:val="1"/>
      <w:tblStyleColBandSize w:val="1"/>
    </w:tblPr>
    <w:tcPr>
      <w:shd w:val="clear" w:color="auto" w:fill="00A9D4"/>
    </w:tcPr>
    <w:tblStylePr w:type="firstRow">
      <w:rPr>
        <w:b/>
        <w:bCs/>
        <w:color w:val="FFFFFF" w:themeColor="background1"/>
      </w:rPr>
      <w:tblPr/>
      <w:tcPr>
        <w:shd w:val="clear" w:color="auto" w:fill="00A9D4"/>
      </w:tcPr>
    </w:tblStylePr>
    <w:tblStylePr w:type="lastRow">
      <w:rPr>
        <w:rFonts w:ascii="Calibri" w:hAnsi="Calibri"/>
        <w:b/>
        <w:bCs/>
        <w:i w:val="0"/>
        <w:color w:val="FFFFFF" w:themeColor="background1"/>
        <w:sz w:val="20"/>
      </w:rPr>
      <w:tblPr/>
      <w:tcPr>
        <w:shd w:val="clear" w:color="auto" w:fill="00A9D4"/>
      </w:tcPr>
    </w:tblStylePr>
    <w:tblStylePr w:type="firstCol">
      <w:rPr>
        <w:b/>
        <w:bCs/>
      </w:rPr>
    </w:tblStylePr>
    <w:tblStylePr w:type="lastCol">
      <w:rPr>
        <w:b/>
        <w:bCs/>
      </w:rPr>
    </w:tblStylePr>
    <w:tblStylePr w:type="band1Horz">
      <w:rPr>
        <w:b w:val="0"/>
      </w:rPr>
      <w:tblPr/>
      <w:tcPr>
        <w:shd w:val="clear" w:color="auto" w:fill="D4EEF5"/>
      </w:tcPr>
    </w:tblStylePr>
    <w:tblStylePr w:type="band2Horz">
      <w:tblPr/>
      <w:tcPr>
        <w:shd w:val="clear" w:color="auto" w:fill="8ED3E9"/>
      </w:tcPr>
    </w:tblStylePr>
  </w:style>
  <w:style w:type="paragraph" w:customStyle="1" w:styleId="MOBRapportTitel">
    <w:name w:val="MOB_RapportTitel"/>
    <w:basedOn w:val="Standaard"/>
    <w:qFormat/>
    <w:rsid w:val="00300A7B"/>
    <w:pPr>
      <w:spacing w:line="204" w:lineRule="auto"/>
      <w:ind w:left="993" w:right="2262"/>
    </w:pPr>
    <w:rPr>
      <w:b/>
      <w:color w:val="FFFFFF" w:themeColor="background1"/>
      <w:sz w:val="36"/>
      <w:szCs w:val="36"/>
    </w:rPr>
  </w:style>
  <w:style w:type="paragraph" w:customStyle="1" w:styleId="MOBGegevensOpKaft">
    <w:name w:val="MOB_GegevensOpKaft"/>
    <w:basedOn w:val="Standaard"/>
    <w:qFormat/>
    <w:rsid w:val="00300A7B"/>
    <w:pPr>
      <w:ind w:left="993"/>
    </w:pPr>
    <w:rPr>
      <w:b/>
      <w:color w:val="FFFFFF" w:themeColor="background1"/>
      <w:szCs w:val="20"/>
    </w:rPr>
  </w:style>
  <w:style w:type="paragraph" w:customStyle="1" w:styleId="MOBRapportAanduiding">
    <w:name w:val="MOB_RapportAanduiding"/>
    <w:qFormat/>
    <w:rsid w:val="00067D1E"/>
    <w:pPr>
      <w:jc w:val="right"/>
    </w:pPr>
    <w:rPr>
      <w:rFonts w:ascii="Calibri" w:eastAsia="Times New Roman" w:hAnsi="Calibri" w:cs="Times New Roman"/>
      <w:b/>
      <w:color w:val="87AF3F"/>
      <w:sz w:val="44"/>
      <w:szCs w:val="16"/>
      <w:lang w:eastAsia="nl-NL"/>
    </w:rPr>
  </w:style>
  <w:style w:type="character" w:styleId="Hyperlink">
    <w:name w:val="Hyperlink"/>
    <w:basedOn w:val="Standaardalinea-lettertype"/>
    <w:unhideWhenUsed/>
    <w:rsid w:val="00B468A2"/>
    <w:rPr>
      <w:color w:val="0563C1" w:themeColor="hyperlink"/>
      <w:u w:val="single"/>
    </w:rPr>
  </w:style>
  <w:style w:type="table" w:styleId="Rastertabel1licht-Accent6">
    <w:name w:val="Grid Table 1 Light Accent 6"/>
    <w:basedOn w:val="Standaardtabel"/>
    <w:uiPriority w:val="46"/>
    <w:rsid w:val="00376230"/>
    <w:rPr>
      <w:rFonts w:ascii="Times New Roman" w:eastAsia="Times New Roman" w:hAnsi="Times New Roman" w:cs="Times New Roman"/>
      <w:sz w:val="20"/>
      <w:szCs w:val="20"/>
      <w:lang w:eastAsia="nl-NL"/>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376230"/>
    <w:pPr>
      <w:spacing w:before="100" w:beforeAutospacing="1" w:after="100" w:afterAutospacing="1" w:line="240" w:lineRule="auto"/>
    </w:pPr>
    <w:rPr>
      <w:rFonts w:ascii="Times New Roman" w:hAnsi="Times New Roman"/>
      <w:color w:val="auto"/>
      <w:sz w:val="24"/>
      <w:szCs w:val="24"/>
    </w:rPr>
  </w:style>
  <w:style w:type="paragraph" w:styleId="Revisie">
    <w:name w:val="Revision"/>
    <w:hidden/>
    <w:uiPriority w:val="99"/>
    <w:semiHidden/>
    <w:rsid w:val="00554F90"/>
    <w:rPr>
      <w:rFonts w:ascii="Calibri" w:eastAsia="Times New Roman" w:hAnsi="Calibri" w:cs="Times New Roman"/>
      <w:color w:val="000000" w:themeColor="text1"/>
      <w:sz w:val="20"/>
      <w:szCs w:val="16"/>
      <w:lang w:eastAsia="nl-NL"/>
    </w:rPr>
  </w:style>
  <w:style w:type="character" w:styleId="Verwijzingopmerking">
    <w:name w:val="annotation reference"/>
    <w:basedOn w:val="Standaardalinea-lettertype"/>
    <w:uiPriority w:val="99"/>
    <w:semiHidden/>
    <w:unhideWhenUsed/>
    <w:rsid w:val="00616582"/>
    <w:rPr>
      <w:sz w:val="16"/>
      <w:szCs w:val="16"/>
    </w:rPr>
  </w:style>
  <w:style w:type="paragraph" w:styleId="Tekstopmerking">
    <w:name w:val="annotation text"/>
    <w:basedOn w:val="Standaard"/>
    <w:link w:val="TekstopmerkingChar"/>
    <w:uiPriority w:val="99"/>
    <w:unhideWhenUsed/>
    <w:rsid w:val="00616582"/>
    <w:pPr>
      <w:spacing w:line="240" w:lineRule="auto"/>
    </w:pPr>
    <w:rPr>
      <w:szCs w:val="20"/>
    </w:rPr>
  </w:style>
  <w:style w:type="character" w:customStyle="1" w:styleId="TekstopmerkingChar">
    <w:name w:val="Tekst opmerking Char"/>
    <w:basedOn w:val="Standaardalinea-lettertype"/>
    <w:link w:val="Tekstopmerking"/>
    <w:uiPriority w:val="99"/>
    <w:rsid w:val="00616582"/>
    <w:rPr>
      <w:rFonts w:ascii="Calibri" w:eastAsia="Times New Roman" w:hAnsi="Calibri" w:cs="Times New Roman"/>
      <w:color w:val="000000" w:themeColor="text1"/>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16582"/>
    <w:rPr>
      <w:b/>
      <w:bCs/>
    </w:rPr>
  </w:style>
  <w:style w:type="character" w:customStyle="1" w:styleId="OnderwerpvanopmerkingChar">
    <w:name w:val="Onderwerp van opmerking Char"/>
    <w:basedOn w:val="TekstopmerkingChar"/>
    <w:link w:val="Onderwerpvanopmerking"/>
    <w:uiPriority w:val="99"/>
    <w:semiHidden/>
    <w:rsid w:val="00616582"/>
    <w:rPr>
      <w:rFonts w:ascii="Calibri" w:eastAsia="Times New Roman" w:hAnsi="Calibri" w:cs="Times New Roman"/>
      <w:b/>
      <w:bCs/>
      <w:color w:val="000000" w:themeColor="text1"/>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3856">
      <w:bodyDiv w:val="1"/>
      <w:marLeft w:val="0"/>
      <w:marRight w:val="0"/>
      <w:marTop w:val="0"/>
      <w:marBottom w:val="0"/>
      <w:divBdr>
        <w:top w:val="none" w:sz="0" w:space="0" w:color="auto"/>
        <w:left w:val="none" w:sz="0" w:space="0" w:color="auto"/>
        <w:bottom w:val="none" w:sz="0" w:space="0" w:color="auto"/>
        <w:right w:val="none" w:sz="0" w:space="0" w:color="auto"/>
      </w:divBdr>
    </w:div>
    <w:div w:id="77751786">
      <w:bodyDiv w:val="1"/>
      <w:marLeft w:val="0"/>
      <w:marRight w:val="0"/>
      <w:marTop w:val="0"/>
      <w:marBottom w:val="0"/>
      <w:divBdr>
        <w:top w:val="none" w:sz="0" w:space="0" w:color="auto"/>
        <w:left w:val="none" w:sz="0" w:space="0" w:color="auto"/>
        <w:bottom w:val="none" w:sz="0" w:space="0" w:color="auto"/>
        <w:right w:val="none" w:sz="0" w:space="0" w:color="auto"/>
      </w:divBdr>
      <w:divsChild>
        <w:div w:id="1979531402">
          <w:marLeft w:val="0"/>
          <w:marRight w:val="0"/>
          <w:marTop w:val="0"/>
          <w:marBottom w:val="0"/>
          <w:divBdr>
            <w:top w:val="none" w:sz="0" w:space="0" w:color="auto"/>
            <w:left w:val="none" w:sz="0" w:space="0" w:color="auto"/>
            <w:bottom w:val="none" w:sz="0" w:space="0" w:color="auto"/>
            <w:right w:val="none" w:sz="0" w:space="0" w:color="auto"/>
          </w:divBdr>
          <w:divsChild>
            <w:div w:id="63068339">
              <w:marLeft w:val="0"/>
              <w:marRight w:val="0"/>
              <w:marTop w:val="0"/>
              <w:marBottom w:val="0"/>
              <w:divBdr>
                <w:top w:val="none" w:sz="0" w:space="0" w:color="auto"/>
                <w:left w:val="none" w:sz="0" w:space="0" w:color="auto"/>
                <w:bottom w:val="none" w:sz="0" w:space="0" w:color="auto"/>
                <w:right w:val="none" w:sz="0" w:space="0" w:color="auto"/>
              </w:divBdr>
              <w:divsChild>
                <w:div w:id="117801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3893">
      <w:bodyDiv w:val="1"/>
      <w:marLeft w:val="0"/>
      <w:marRight w:val="0"/>
      <w:marTop w:val="0"/>
      <w:marBottom w:val="0"/>
      <w:divBdr>
        <w:top w:val="none" w:sz="0" w:space="0" w:color="auto"/>
        <w:left w:val="none" w:sz="0" w:space="0" w:color="auto"/>
        <w:bottom w:val="none" w:sz="0" w:space="0" w:color="auto"/>
        <w:right w:val="none" w:sz="0" w:space="0" w:color="auto"/>
      </w:divBdr>
      <w:divsChild>
        <w:div w:id="2023240708">
          <w:marLeft w:val="0"/>
          <w:marRight w:val="0"/>
          <w:marTop w:val="0"/>
          <w:marBottom w:val="0"/>
          <w:divBdr>
            <w:top w:val="none" w:sz="0" w:space="0" w:color="auto"/>
            <w:left w:val="none" w:sz="0" w:space="0" w:color="auto"/>
            <w:bottom w:val="none" w:sz="0" w:space="0" w:color="auto"/>
            <w:right w:val="none" w:sz="0" w:space="0" w:color="auto"/>
          </w:divBdr>
          <w:divsChild>
            <w:div w:id="986862808">
              <w:marLeft w:val="0"/>
              <w:marRight w:val="0"/>
              <w:marTop w:val="0"/>
              <w:marBottom w:val="0"/>
              <w:divBdr>
                <w:top w:val="none" w:sz="0" w:space="0" w:color="auto"/>
                <w:left w:val="none" w:sz="0" w:space="0" w:color="auto"/>
                <w:bottom w:val="none" w:sz="0" w:space="0" w:color="auto"/>
                <w:right w:val="none" w:sz="0" w:space="0" w:color="auto"/>
              </w:divBdr>
              <w:divsChild>
                <w:div w:id="736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3458">
      <w:bodyDiv w:val="1"/>
      <w:marLeft w:val="0"/>
      <w:marRight w:val="0"/>
      <w:marTop w:val="0"/>
      <w:marBottom w:val="0"/>
      <w:divBdr>
        <w:top w:val="none" w:sz="0" w:space="0" w:color="auto"/>
        <w:left w:val="none" w:sz="0" w:space="0" w:color="auto"/>
        <w:bottom w:val="none" w:sz="0" w:space="0" w:color="auto"/>
        <w:right w:val="none" w:sz="0" w:space="0" w:color="auto"/>
      </w:divBdr>
      <w:divsChild>
        <w:div w:id="557013292">
          <w:marLeft w:val="0"/>
          <w:marRight w:val="0"/>
          <w:marTop w:val="0"/>
          <w:marBottom w:val="0"/>
          <w:divBdr>
            <w:top w:val="none" w:sz="0" w:space="0" w:color="auto"/>
            <w:left w:val="none" w:sz="0" w:space="0" w:color="auto"/>
            <w:bottom w:val="none" w:sz="0" w:space="0" w:color="auto"/>
            <w:right w:val="none" w:sz="0" w:space="0" w:color="auto"/>
          </w:divBdr>
          <w:divsChild>
            <w:div w:id="941381922">
              <w:marLeft w:val="0"/>
              <w:marRight w:val="0"/>
              <w:marTop w:val="0"/>
              <w:marBottom w:val="0"/>
              <w:divBdr>
                <w:top w:val="none" w:sz="0" w:space="0" w:color="auto"/>
                <w:left w:val="none" w:sz="0" w:space="0" w:color="auto"/>
                <w:bottom w:val="none" w:sz="0" w:space="0" w:color="auto"/>
                <w:right w:val="none" w:sz="0" w:space="0" w:color="auto"/>
              </w:divBdr>
              <w:divsChild>
                <w:div w:id="4428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35430">
      <w:bodyDiv w:val="1"/>
      <w:marLeft w:val="0"/>
      <w:marRight w:val="0"/>
      <w:marTop w:val="0"/>
      <w:marBottom w:val="0"/>
      <w:divBdr>
        <w:top w:val="none" w:sz="0" w:space="0" w:color="auto"/>
        <w:left w:val="none" w:sz="0" w:space="0" w:color="auto"/>
        <w:bottom w:val="none" w:sz="0" w:space="0" w:color="auto"/>
        <w:right w:val="none" w:sz="0" w:space="0" w:color="auto"/>
      </w:divBdr>
    </w:div>
    <w:div w:id="519246680">
      <w:bodyDiv w:val="1"/>
      <w:marLeft w:val="0"/>
      <w:marRight w:val="0"/>
      <w:marTop w:val="0"/>
      <w:marBottom w:val="0"/>
      <w:divBdr>
        <w:top w:val="none" w:sz="0" w:space="0" w:color="auto"/>
        <w:left w:val="none" w:sz="0" w:space="0" w:color="auto"/>
        <w:bottom w:val="none" w:sz="0" w:space="0" w:color="auto"/>
        <w:right w:val="none" w:sz="0" w:space="0" w:color="auto"/>
      </w:divBdr>
    </w:div>
    <w:div w:id="563415534">
      <w:bodyDiv w:val="1"/>
      <w:marLeft w:val="0"/>
      <w:marRight w:val="0"/>
      <w:marTop w:val="0"/>
      <w:marBottom w:val="0"/>
      <w:divBdr>
        <w:top w:val="none" w:sz="0" w:space="0" w:color="auto"/>
        <w:left w:val="none" w:sz="0" w:space="0" w:color="auto"/>
        <w:bottom w:val="none" w:sz="0" w:space="0" w:color="auto"/>
        <w:right w:val="none" w:sz="0" w:space="0" w:color="auto"/>
      </w:divBdr>
    </w:div>
    <w:div w:id="597562157">
      <w:bodyDiv w:val="1"/>
      <w:marLeft w:val="0"/>
      <w:marRight w:val="0"/>
      <w:marTop w:val="0"/>
      <w:marBottom w:val="0"/>
      <w:divBdr>
        <w:top w:val="none" w:sz="0" w:space="0" w:color="auto"/>
        <w:left w:val="none" w:sz="0" w:space="0" w:color="auto"/>
        <w:bottom w:val="none" w:sz="0" w:space="0" w:color="auto"/>
        <w:right w:val="none" w:sz="0" w:space="0" w:color="auto"/>
      </w:divBdr>
    </w:div>
    <w:div w:id="746806379">
      <w:bodyDiv w:val="1"/>
      <w:marLeft w:val="0"/>
      <w:marRight w:val="0"/>
      <w:marTop w:val="0"/>
      <w:marBottom w:val="0"/>
      <w:divBdr>
        <w:top w:val="none" w:sz="0" w:space="0" w:color="auto"/>
        <w:left w:val="none" w:sz="0" w:space="0" w:color="auto"/>
        <w:bottom w:val="none" w:sz="0" w:space="0" w:color="auto"/>
        <w:right w:val="none" w:sz="0" w:space="0" w:color="auto"/>
      </w:divBdr>
    </w:div>
    <w:div w:id="973877225">
      <w:bodyDiv w:val="1"/>
      <w:marLeft w:val="0"/>
      <w:marRight w:val="0"/>
      <w:marTop w:val="0"/>
      <w:marBottom w:val="0"/>
      <w:divBdr>
        <w:top w:val="none" w:sz="0" w:space="0" w:color="auto"/>
        <w:left w:val="none" w:sz="0" w:space="0" w:color="auto"/>
        <w:bottom w:val="none" w:sz="0" w:space="0" w:color="auto"/>
        <w:right w:val="none" w:sz="0" w:space="0" w:color="auto"/>
      </w:divBdr>
      <w:divsChild>
        <w:div w:id="1288774566">
          <w:marLeft w:val="0"/>
          <w:marRight w:val="0"/>
          <w:marTop w:val="0"/>
          <w:marBottom w:val="0"/>
          <w:divBdr>
            <w:top w:val="none" w:sz="0" w:space="0" w:color="auto"/>
            <w:left w:val="none" w:sz="0" w:space="0" w:color="auto"/>
            <w:bottom w:val="none" w:sz="0" w:space="0" w:color="auto"/>
            <w:right w:val="none" w:sz="0" w:space="0" w:color="auto"/>
          </w:divBdr>
          <w:divsChild>
            <w:div w:id="868108782">
              <w:marLeft w:val="0"/>
              <w:marRight w:val="0"/>
              <w:marTop w:val="0"/>
              <w:marBottom w:val="0"/>
              <w:divBdr>
                <w:top w:val="none" w:sz="0" w:space="0" w:color="auto"/>
                <w:left w:val="none" w:sz="0" w:space="0" w:color="auto"/>
                <w:bottom w:val="none" w:sz="0" w:space="0" w:color="auto"/>
                <w:right w:val="none" w:sz="0" w:space="0" w:color="auto"/>
              </w:divBdr>
              <w:divsChild>
                <w:div w:id="15612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51871">
      <w:bodyDiv w:val="1"/>
      <w:marLeft w:val="0"/>
      <w:marRight w:val="0"/>
      <w:marTop w:val="0"/>
      <w:marBottom w:val="0"/>
      <w:divBdr>
        <w:top w:val="none" w:sz="0" w:space="0" w:color="auto"/>
        <w:left w:val="none" w:sz="0" w:space="0" w:color="auto"/>
        <w:bottom w:val="none" w:sz="0" w:space="0" w:color="auto"/>
        <w:right w:val="none" w:sz="0" w:space="0" w:color="auto"/>
      </w:divBdr>
    </w:div>
    <w:div w:id="1195775227">
      <w:bodyDiv w:val="1"/>
      <w:marLeft w:val="0"/>
      <w:marRight w:val="0"/>
      <w:marTop w:val="0"/>
      <w:marBottom w:val="0"/>
      <w:divBdr>
        <w:top w:val="none" w:sz="0" w:space="0" w:color="auto"/>
        <w:left w:val="none" w:sz="0" w:space="0" w:color="auto"/>
        <w:bottom w:val="none" w:sz="0" w:space="0" w:color="auto"/>
        <w:right w:val="none" w:sz="0" w:space="0" w:color="auto"/>
      </w:divBdr>
    </w:div>
    <w:div w:id="1510489428">
      <w:bodyDiv w:val="1"/>
      <w:marLeft w:val="0"/>
      <w:marRight w:val="0"/>
      <w:marTop w:val="0"/>
      <w:marBottom w:val="0"/>
      <w:divBdr>
        <w:top w:val="none" w:sz="0" w:space="0" w:color="auto"/>
        <w:left w:val="none" w:sz="0" w:space="0" w:color="auto"/>
        <w:bottom w:val="none" w:sz="0" w:space="0" w:color="auto"/>
        <w:right w:val="none" w:sz="0" w:space="0" w:color="auto"/>
      </w:divBdr>
    </w:div>
    <w:div w:id="1689988512">
      <w:bodyDiv w:val="1"/>
      <w:marLeft w:val="0"/>
      <w:marRight w:val="0"/>
      <w:marTop w:val="0"/>
      <w:marBottom w:val="0"/>
      <w:divBdr>
        <w:top w:val="none" w:sz="0" w:space="0" w:color="auto"/>
        <w:left w:val="none" w:sz="0" w:space="0" w:color="auto"/>
        <w:bottom w:val="none" w:sz="0" w:space="0" w:color="auto"/>
        <w:right w:val="none" w:sz="0" w:space="0" w:color="auto"/>
      </w:divBdr>
    </w:div>
    <w:div w:id="1711800534">
      <w:bodyDiv w:val="1"/>
      <w:marLeft w:val="0"/>
      <w:marRight w:val="0"/>
      <w:marTop w:val="0"/>
      <w:marBottom w:val="0"/>
      <w:divBdr>
        <w:top w:val="none" w:sz="0" w:space="0" w:color="auto"/>
        <w:left w:val="none" w:sz="0" w:space="0" w:color="auto"/>
        <w:bottom w:val="none" w:sz="0" w:space="0" w:color="auto"/>
        <w:right w:val="none" w:sz="0" w:space="0" w:color="auto"/>
      </w:divBdr>
    </w:div>
    <w:div w:id="1818717603">
      <w:bodyDiv w:val="1"/>
      <w:marLeft w:val="0"/>
      <w:marRight w:val="0"/>
      <w:marTop w:val="0"/>
      <w:marBottom w:val="0"/>
      <w:divBdr>
        <w:top w:val="none" w:sz="0" w:space="0" w:color="auto"/>
        <w:left w:val="none" w:sz="0" w:space="0" w:color="auto"/>
        <w:bottom w:val="none" w:sz="0" w:space="0" w:color="auto"/>
        <w:right w:val="none" w:sz="0" w:space="0" w:color="auto"/>
      </w:divBdr>
    </w:div>
    <w:div w:id="1915818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6526f-ea51-4805-9320-4e16220f7428">
      <Terms xmlns="http://schemas.microsoft.com/office/infopath/2007/PartnerControls"/>
    </lcf76f155ced4ddcb4097134ff3c332f>
    <TaxCatchAll xmlns="6028d56a-bf35-4a6c-9ec3-694d374c998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F685F3989BEF24D99E634DDCA048F60" ma:contentTypeVersion="21" ma:contentTypeDescription="Een nieuw document maken." ma:contentTypeScope="" ma:versionID="e810af5d4a8a338172cb83974d2aeec4">
  <xsd:schema xmlns:xsd="http://www.w3.org/2001/XMLSchema" xmlns:xs="http://www.w3.org/2001/XMLSchema" xmlns:p="http://schemas.microsoft.com/office/2006/metadata/properties" xmlns:ns2="8256526f-ea51-4805-9320-4e16220f7428" xmlns:ns3="6028d56a-bf35-4a6c-9ec3-694d374c998d" targetNamespace="http://schemas.microsoft.com/office/2006/metadata/properties" ma:root="true" ma:fieldsID="0751960c4b1b96a205fb4527c9a2fbfd" ns2:_="" ns3:_="">
    <xsd:import namespace="8256526f-ea51-4805-9320-4e16220f7428"/>
    <xsd:import namespace="6028d56a-bf35-4a6c-9ec3-694d374c99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6526f-ea51-4805-9320-4e16220f7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0788820c-5929-47b7-863c-ae4beb923a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28d56a-bf35-4a6c-9ec3-694d374c998d"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c14adc0-9e27-4114-b3f2-e38650b85aee}" ma:internalName="TaxCatchAll" ma:showField="CatchAllData" ma:web="6028d56a-bf35-4a6c-9ec3-694d374c99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C4250E-99E3-4347-B5FE-F9B41D9FC99A}">
  <ds:schemaRefs>
    <ds:schemaRef ds:uri="http://schemas.microsoft.com/sharepoint/v3/contenttype/forms"/>
  </ds:schemaRefs>
</ds:datastoreItem>
</file>

<file path=customXml/itemProps2.xml><?xml version="1.0" encoding="utf-8"?>
<ds:datastoreItem xmlns:ds="http://schemas.openxmlformats.org/officeDocument/2006/customXml" ds:itemID="{49E1DEF1-AA8F-4450-BBB7-1BC8AC4E2A9A}">
  <ds:schemaRefs>
    <ds:schemaRef ds:uri="http://schemas.microsoft.com/office/2006/metadata/properties"/>
    <ds:schemaRef ds:uri="http://schemas.microsoft.com/office/infopath/2007/PartnerControls"/>
    <ds:schemaRef ds:uri="8256526f-ea51-4805-9320-4e16220f7428"/>
    <ds:schemaRef ds:uri="6028d56a-bf35-4a6c-9ec3-694d374c998d"/>
  </ds:schemaRefs>
</ds:datastoreItem>
</file>

<file path=customXml/itemProps3.xml><?xml version="1.0" encoding="utf-8"?>
<ds:datastoreItem xmlns:ds="http://schemas.openxmlformats.org/officeDocument/2006/customXml" ds:itemID="{BF28F7D6-9BB0-8045-BFE6-AE28AD007F96}">
  <ds:schemaRefs>
    <ds:schemaRef ds:uri="http://schemas.openxmlformats.org/officeDocument/2006/bibliography"/>
  </ds:schemaRefs>
</ds:datastoreItem>
</file>

<file path=customXml/itemProps4.xml><?xml version="1.0" encoding="utf-8"?>
<ds:datastoreItem xmlns:ds="http://schemas.openxmlformats.org/officeDocument/2006/customXml" ds:itemID="{7C55F5B8-776E-42BD-9D7B-F7DDCFFAB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6526f-ea51-4805-9320-4e16220f7428"/>
    <ds:schemaRef ds:uri="6028d56a-bf35-4a6c-9ec3-694d374c9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21</Pages>
  <Words>3561</Words>
  <Characters>19586</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M_Offerte-Rapport</vt:lpstr>
    </vt:vector>
  </TitlesOfParts>
  <Manager/>
  <Company>Mobycon</Company>
  <LinksUpToDate>false</LinksUpToDate>
  <CharactersWithSpaces>23101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M_Offerte-Rapport</dc:title>
  <dc:subject/>
  <dc:creator>Microsoft Office User</dc:creator>
  <cp:keywords/>
  <dc:description/>
  <cp:lastModifiedBy>Julian van de Lagemaat [De Vaart]</cp:lastModifiedBy>
  <cp:revision>88</cp:revision>
  <cp:lastPrinted>2022-07-29T06:55:00Z</cp:lastPrinted>
  <dcterms:created xsi:type="dcterms:W3CDTF">2023-11-23T08:22:00Z</dcterms:created>
  <dcterms:modified xsi:type="dcterms:W3CDTF">2025-10-01T06:36:00Z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0x010100AF685F3989BEF24D99E634DDCA048F60</vt:lpwstr>
  </property>
  <property fmtid="{D5CDD505-2E9C-101B-9397-08002B2CF9AE}" pid="3" name="MediaServiceImageTags">
    <vt:lpwstr/>
  </property>
</Properties>
</file>